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42F6B"/>
    <w:p w:rsidR="00E42F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4678"/>
        <w:gridCol w:w="2552"/>
      </w:tblGrid>
      <w:tr w:rsidTr="00E42F6B">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2835" w:type="dxa"/>
            <w:shd w:val="clear" w:color="auto" w:fill="BFBFBF"/>
            <w:vAlign w:val="center"/>
          </w:tcPr>
          <w:p w:rsidR="00284E95" w:rsidRPr="00D4431F"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rsidR="00284E95" w:rsidRPr="00D4431F" w:rsidP="00E42F6B">
            <w:pPr>
              <w:spacing w:line="240" w:lineRule="auto"/>
              <w:jc w:val="center"/>
              <w:rPr>
                <w:rFonts w:cstheme="minorHAnsi"/>
                <w:b/>
                <w:bCs/>
              </w:rPr>
            </w:pPr>
            <w:r>
              <w:rPr>
                <w:rFonts w:cstheme="minorHAnsi"/>
                <w:b/>
                <w:bCs/>
              </w:rPr>
              <w:t>Date</w:t>
            </w:r>
          </w:p>
        </w:tc>
      </w:tr>
      <w:tr w:rsidTr="00E42F6B">
        <w:tblPrEx>
          <w:tblW w:w="10065" w:type="dxa"/>
          <w:jc w:val="center"/>
          <w:tblLook w:val="0000"/>
        </w:tblPrEx>
        <w:trPr>
          <w:cantSplit/>
          <w:trHeight w:val="942"/>
          <w:jc w:val="center"/>
        </w:trPr>
        <w:tc>
          <w:tcPr>
            <w:tcW w:w="2835" w:type="dxa"/>
            <w:vAlign w:val="center"/>
          </w:tcPr>
          <w:p w:rsidR="00284E95" w:rsidRPr="00ED4FF1" w:rsidP="00E42F6B">
            <w:pPr>
              <w:spacing w:after="0"/>
              <w:jc w:val="center"/>
            </w:pPr>
            <w:r w:rsidRPr="00ED4FF1">
              <w:fldChar w:fldCharType="begin"/>
            </w:r>
            <w:r>
              <w:instrText xml:space="preserve"> DOCPROPERTY  LeadDirector  \* MERGEFORMAT </w:instrText>
            </w:r>
            <w:r w:rsidRPr="00ED4FF1">
              <w:fldChar w:fldCharType="separate"/>
            </w:r>
            <w:r w:rsidRPr="00ED4FF1">
              <w:t>Director of Finance and Section 151 Officer</w:t>
            </w:r>
            <w:r w:rsidRPr="00ED4FF1">
              <w:fldChar w:fldCharType="end"/>
            </w:r>
          </w:p>
          <w:p w:rsidR="00284E95" w:rsidRPr="00ED4FF1" w:rsidP="00E42F6B">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rsidR="003D421D" w:rsidP="00E42F6B">
            <w:pPr>
              <w:spacing w:line="240" w:lineRule="auto"/>
              <w:jc w:val="center"/>
              <w:rPr>
                <w:rFonts w:cstheme="minorHAnsi"/>
              </w:rPr>
            </w:pPr>
            <w:r>
              <w:rPr>
                <w:rFonts w:cstheme="minorHAnsi"/>
              </w:rPr>
              <w:t>Scrutiny Budget and Performance Panel</w:t>
            </w:r>
          </w:p>
          <w:p w:rsidR="00284E95" w:rsidRPr="00ED4FF1" w:rsidP="00E42F6B">
            <w:pPr>
              <w:spacing w:line="240" w:lineRule="auto"/>
              <w:jc w:val="center"/>
              <w:rPr>
                <w:rFonts w:cstheme="minorHAnsi"/>
              </w:rPr>
            </w:pPr>
            <w:r>
              <w:rPr>
                <w:rFonts w:cstheme="minorHAnsi"/>
              </w:rPr>
              <w:t>Cabinet</w:t>
            </w:r>
          </w:p>
        </w:tc>
        <w:tc>
          <w:tcPr>
            <w:tcW w:w="2552" w:type="dxa"/>
            <w:vAlign w:val="center"/>
          </w:tcPr>
          <w:p w:rsidR="003D421D" w:rsidP="00E42F6B">
            <w:pPr>
              <w:spacing w:line="240" w:lineRule="auto"/>
              <w:jc w:val="center"/>
              <w:rPr>
                <w:rFonts w:cstheme="minorHAnsi"/>
              </w:rPr>
            </w:pPr>
            <w:r>
              <w:rPr>
                <w:rFonts w:cstheme="minorHAnsi"/>
              </w:rPr>
              <w:t>15</w:t>
            </w:r>
            <w:r w:rsidRPr="003D421D">
              <w:rPr>
                <w:rFonts w:cstheme="minorHAnsi"/>
                <w:vertAlign w:val="superscript"/>
              </w:rPr>
              <w:t>th</w:t>
            </w:r>
            <w:r>
              <w:rPr>
                <w:rFonts w:cstheme="minorHAnsi"/>
              </w:rPr>
              <w:t xml:space="preserve"> November 2021</w:t>
            </w:r>
          </w:p>
          <w:p w:rsidR="00284E95" w:rsidRPr="00ED4FF1" w:rsidP="00E42F6B">
            <w:pPr>
              <w:spacing w:line="240" w:lineRule="auto"/>
              <w:jc w:val="center"/>
              <w:rPr>
                <w:rFonts w:cstheme="minorHAnsi"/>
              </w:rPr>
            </w:pPr>
            <w:bookmarkStart w:id="1" w:name="_GoBack"/>
            <w:bookmarkEnd w:id="1"/>
            <w:r>
              <w:rPr>
                <w:rFonts w:cstheme="minorHAnsi"/>
              </w:rPr>
              <w:t>17</w:t>
            </w:r>
            <w:r w:rsidRPr="00F616C0">
              <w:rPr>
                <w:rFonts w:cstheme="minorHAnsi"/>
                <w:vertAlign w:val="superscript"/>
              </w:rPr>
              <w:t>th</w:t>
            </w:r>
            <w:r>
              <w:rPr>
                <w:rFonts w:cstheme="minorHAnsi"/>
              </w:rPr>
              <w:t xml:space="preserve"> November 2021</w:t>
            </w:r>
          </w:p>
        </w:tc>
      </w:tr>
    </w:tbl>
    <w:p w:rsidR="00E42F6B"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D96DE5">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E42F6B" w:rsidRPr="00E42F6B"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rsidR="00E42F6B"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D96DE5">
        <w:tblPrEx>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E42F6B" w:rsidRPr="00284E95"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tblPr>
      <w:tblGrid>
        <w:gridCol w:w="5392"/>
        <w:gridCol w:w="4678"/>
      </w:tblGrid>
      <w:tr w:rsidTr="00E42F6B">
        <w:tblPrEx>
          <w:tblW w:w="10070" w:type="dxa"/>
          <w:jc w:val="center"/>
          <w:tblLook w:val="04A0"/>
        </w:tblPrEx>
        <w:trPr>
          <w:jc w:val="center"/>
        </w:trPr>
        <w:tc>
          <w:tcPr>
            <w:tcW w:w="5392"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rsidR="00284E95" w:rsidP="00E42F6B"/>
    <w:p w:rsidR="000179AF" w:rsidRPr="00883AC9"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2021/22 Corporate Revenue Budget Monitoring Report and </w:t>
      </w:r>
      <w:r>
        <w:rPr>
          <w:rFonts w:asciiTheme="majorHAnsi" w:hAnsiTheme="majorHAnsi" w:cstheme="majorHAnsi"/>
          <w:sz w:val="28"/>
          <w:szCs w:val="28"/>
        </w:rPr>
        <w:t>Reserves – position as at 30th September 2021</w:t>
      </w:r>
    </w:p>
    <w:p w:rsidR="000179AF" w:rsidRPr="00ED4FF1" w:rsidP="001668A0">
      <w:pPr>
        <w:pStyle w:val="Heading2"/>
        <w:rPr>
          <w:sz w:val="8"/>
        </w:rPr>
      </w:pPr>
      <w:r w:rsidRPr="00ED4FF1">
        <w:t>Purpose of the Report</w:t>
      </w:r>
    </w:p>
    <w:p w:rsidR="000179AF" w:rsidRPr="003E3722" w:rsidP="000179AF">
      <w:pPr>
        <w:numPr>
          <w:ilvl w:val="0"/>
          <w:numId w:val="8"/>
        </w:numPr>
        <w:spacing w:after="0" w:line="240" w:lineRule="auto"/>
        <w:jc w:val="both"/>
        <w:rPr>
          <w:rFonts w:cstheme="minorHAnsi"/>
          <w:bCs/>
          <w:iCs/>
        </w:rPr>
      </w:pPr>
      <w:r w:rsidRPr="001668A0">
        <w:rPr>
          <w:rFonts w:cstheme="minorHAnsi"/>
          <w:bCs/>
          <w:iCs/>
        </w:rPr>
        <w:t xml:space="preserve">This report sets out the revenue and reserves forecast for the Council as at </w:t>
      </w:r>
      <w:r>
        <w:rPr>
          <w:rFonts w:cstheme="minorHAnsi"/>
          <w:bCs/>
          <w:iCs/>
        </w:rPr>
        <w:t>30th September 2021.</w:t>
      </w:r>
    </w:p>
    <w:p w:rsidR="000179AF" w:rsidP="000179AF">
      <w:pPr>
        <w:spacing w:after="0" w:line="240" w:lineRule="auto"/>
        <w:jc w:val="both"/>
        <w:rPr>
          <w:rFonts w:cstheme="minorHAnsi"/>
          <w:bCs/>
        </w:rPr>
      </w:pPr>
    </w:p>
    <w:p w:rsidR="002A4A7D" w:rsidRPr="00ED4FF1" w:rsidP="001668A0">
      <w:pPr>
        <w:pStyle w:val="Heading2"/>
      </w:pPr>
      <w:r w:rsidRPr="00ED4FF1">
        <w:t>Recommendations</w:t>
      </w:r>
      <w:r>
        <w:t xml:space="preserve"> to Cabinet</w:t>
      </w:r>
    </w:p>
    <w:p w:rsidR="002A4A7D" w:rsidP="002A4A7D">
      <w:pPr>
        <w:numPr>
          <w:ilvl w:val="0"/>
          <w:numId w:val="8"/>
        </w:numPr>
        <w:spacing w:after="0" w:line="240" w:lineRule="auto"/>
        <w:jc w:val="both"/>
        <w:rPr>
          <w:rFonts w:cstheme="minorHAnsi"/>
          <w:bCs/>
          <w:iCs/>
        </w:rPr>
      </w:pPr>
      <w:r w:rsidRPr="001668A0">
        <w:rPr>
          <w:rFonts w:cstheme="minorHAnsi"/>
          <w:bCs/>
          <w:iCs/>
        </w:rPr>
        <w:t xml:space="preserve">Note the forecast position for revenue and reserves as at </w:t>
      </w:r>
      <w:r>
        <w:rPr>
          <w:rFonts w:cstheme="minorHAnsi"/>
          <w:bCs/>
          <w:iCs/>
        </w:rPr>
        <w:t>30th</w:t>
      </w:r>
      <w:r>
        <w:rPr>
          <w:rFonts w:cstheme="minorHAnsi"/>
          <w:bCs/>
          <w:iCs/>
        </w:rPr>
        <w:t xml:space="preserve"> September 2021</w:t>
      </w:r>
      <w:r w:rsidRPr="001668A0">
        <w:rPr>
          <w:rFonts w:cstheme="minorHAnsi"/>
          <w:bCs/>
          <w:iCs/>
        </w:rPr>
        <w:t>.</w:t>
      </w:r>
    </w:p>
    <w:p w:rsidR="006D7FE0" w:rsidP="006D7FE0">
      <w:pPr>
        <w:spacing w:after="0" w:line="240" w:lineRule="auto"/>
        <w:ind w:left="360"/>
        <w:jc w:val="both"/>
        <w:rPr>
          <w:rFonts w:cstheme="minorHAnsi"/>
          <w:bCs/>
          <w:iCs/>
        </w:rPr>
      </w:pPr>
    </w:p>
    <w:p w:rsidR="0023310C" w:rsidRPr="0023310C" w:rsidP="0023310C">
      <w:pPr>
        <w:numPr>
          <w:ilvl w:val="0"/>
          <w:numId w:val="8"/>
        </w:numPr>
        <w:spacing w:after="0" w:line="240" w:lineRule="auto"/>
        <w:jc w:val="both"/>
        <w:rPr>
          <w:rFonts w:cstheme="minorHAnsi"/>
          <w:bCs/>
          <w:iCs/>
        </w:rPr>
      </w:pPr>
      <w:r>
        <w:rPr>
          <w:rFonts w:cstheme="minorHAnsi"/>
          <w:bCs/>
          <w:iCs/>
        </w:rPr>
        <w:t xml:space="preserve">Note the virements to the revenue budget made during the period, as detailed in </w:t>
      </w:r>
      <w:r w:rsidRPr="006D7FE0">
        <w:rPr>
          <w:rFonts w:cstheme="minorHAnsi"/>
          <w:b/>
          <w:bCs/>
          <w:iCs/>
        </w:rPr>
        <w:t>Appendix 2</w:t>
      </w:r>
      <w:r>
        <w:rPr>
          <w:rFonts w:cstheme="minorHAnsi"/>
          <w:bCs/>
          <w:iCs/>
        </w:rPr>
        <w:t xml:space="preserve"> of the report.</w:t>
      </w:r>
    </w:p>
    <w:p w:rsidR="001668A0" w:rsidP="00C3640D">
      <w:pPr>
        <w:spacing w:after="0" w:line="240" w:lineRule="auto"/>
        <w:jc w:val="both"/>
        <w:rPr>
          <w:rFonts w:cstheme="minorHAnsi"/>
          <w:bCs/>
          <w:iCs/>
        </w:rPr>
      </w:pPr>
    </w:p>
    <w:p w:rsidR="000179AF" w:rsidRPr="00ED4FF1" w:rsidP="001668A0">
      <w:pPr>
        <w:pStyle w:val="Heading2"/>
      </w:pPr>
      <w:r w:rsidRPr="00ED4FF1">
        <w:t>Executive summary</w:t>
      </w:r>
    </w:p>
    <w:p w:rsidR="000179AF" w:rsidRPr="00196967" w:rsidP="000179AF">
      <w:pPr>
        <w:numPr>
          <w:ilvl w:val="0"/>
          <w:numId w:val="8"/>
        </w:numPr>
        <w:spacing w:after="0" w:line="240" w:lineRule="auto"/>
        <w:jc w:val="both"/>
        <w:rPr>
          <w:rFonts w:cstheme="minorHAnsi"/>
          <w:bCs/>
          <w:iCs/>
        </w:rPr>
      </w:pPr>
      <w:r>
        <w:rPr>
          <w:rFonts w:cstheme="minorHAnsi"/>
          <w:bCs/>
          <w:iCs/>
        </w:rPr>
        <w:t>Based on the position as at 30</w:t>
      </w:r>
      <w:r w:rsidRPr="00BE456F">
        <w:rPr>
          <w:rFonts w:cstheme="minorHAnsi"/>
          <w:bCs/>
          <w:iCs/>
          <w:vertAlign w:val="superscript"/>
        </w:rPr>
        <w:t>th</w:t>
      </w:r>
      <w:r>
        <w:rPr>
          <w:rFonts w:cstheme="minorHAnsi"/>
          <w:bCs/>
          <w:iCs/>
        </w:rPr>
        <w:t xml:space="preserve"> September 2021, t</w:t>
      </w:r>
      <w:r w:rsidRPr="00196967">
        <w:rPr>
          <w:rFonts w:cstheme="minorHAnsi"/>
          <w:bCs/>
          <w:iCs/>
        </w:rPr>
        <w:t>here is a forecast</w:t>
      </w:r>
      <w:r>
        <w:rPr>
          <w:rFonts w:cstheme="minorHAnsi"/>
          <w:bCs/>
          <w:iCs/>
        </w:rPr>
        <w:t xml:space="preserve"> underspend </w:t>
      </w:r>
      <w:r w:rsidRPr="00196967">
        <w:rPr>
          <w:rFonts w:cstheme="minorHAnsi"/>
          <w:bCs/>
          <w:iCs/>
        </w:rPr>
        <w:t xml:space="preserve">against the budget </w:t>
      </w:r>
      <w:r>
        <w:rPr>
          <w:rFonts w:cstheme="minorHAnsi"/>
          <w:bCs/>
          <w:iCs/>
        </w:rPr>
        <w:t>for 2021/22 of £274k</w:t>
      </w:r>
      <w:r w:rsidRPr="00196967">
        <w:rPr>
          <w:rFonts w:cstheme="minorHAnsi"/>
          <w:bCs/>
          <w:iCs/>
        </w:rPr>
        <w:t xml:space="preserve"> as</w:t>
      </w:r>
      <w:r w:rsidRPr="004B150B">
        <w:rPr>
          <w:rFonts w:cstheme="minorHAnsi"/>
          <w:bCs/>
          <w:iCs/>
        </w:rPr>
        <w:t xml:space="preserve"> detailed in </w:t>
      </w:r>
      <w:r w:rsidRPr="00196967">
        <w:rPr>
          <w:rFonts w:cstheme="minorHAnsi"/>
          <w:b/>
          <w:bCs/>
          <w:iCs/>
        </w:rPr>
        <w:t>Appendix 1</w:t>
      </w:r>
      <w:r w:rsidRPr="00196967">
        <w:rPr>
          <w:rFonts w:cstheme="minorHAnsi"/>
          <w:bCs/>
          <w:iCs/>
        </w:rPr>
        <w:t>.</w:t>
      </w:r>
    </w:p>
    <w:p w:rsidR="001668A0" w:rsidRPr="00B23428" w:rsidP="001668A0">
      <w:pPr>
        <w:spacing w:after="0" w:line="240" w:lineRule="auto"/>
        <w:ind w:left="360"/>
        <w:jc w:val="both"/>
        <w:rPr>
          <w:rFonts w:cstheme="minorHAnsi"/>
          <w:bCs/>
          <w:iCs/>
        </w:rPr>
      </w:pPr>
    </w:p>
    <w:p w:rsidR="001668A0" w:rsidRPr="00E90E28" w:rsidP="000179AF">
      <w:pPr>
        <w:numPr>
          <w:ilvl w:val="0"/>
          <w:numId w:val="8"/>
        </w:numPr>
        <w:spacing w:after="0" w:line="240" w:lineRule="auto"/>
        <w:jc w:val="both"/>
        <w:rPr>
          <w:rFonts w:cstheme="minorHAnsi"/>
          <w:bCs/>
          <w:iCs/>
        </w:rPr>
      </w:pPr>
      <w:r w:rsidRPr="00196967">
        <w:rPr>
          <w:rFonts w:cstheme="minorHAnsi"/>
          <w:bCs/>
          <w:iCs/>
        </w:rPr>
        <w:t xml:space="preserve">The Council’s Medium-Term Financial Strategy reported that working balances were to be </w:t>
      </w:r>
      <w:r w:rsidRPr="00953431">
        <w:rPr>
          <w:rFonts w:cstheme="minorHAnsi"/>
          <w:bCs/>
          <w:iCs/>
        </w:rPr>
        <w:t>maintained at a minimum of £4.0m due</w:t>
      </w:r>
      <w:r w:rsidRPr="00196967">
        <w:rPr>
          <w:rFonts w:cstheme="minorHAnsi"/>
          <w:bCs/>
          <w:iCs/>
        </w:rPr>
        <w:t xml:space="preserve"> to the financial risks facing the Council.  The forecast level o</w:t>
      </w:r>
      <w:r w:rsidRPr="00196967">
        <w:rPr>
          <w:rFonts w:cstheme="minorHAnsi"/>
          <w:bCs/>
          <w:iCs/>
        </w:rPr>
        <w:t>f general fund balances as at 31</w:t>
      </w:r>
      <w:r w:rsidRPr="00196967">
        <w:rPr>
          <w:rFonts w:cstheme="minorHAnsi"/>
          <w:bCs/>
          <w:iCs/>
          <w:vertAlign w:val="superscript"/>
        </w:rPr>
        <w:t>st</w:t>
      </w:r>
      <w:r w:rsidRPr="00196967">
        <w:rPr>
          <w:rFonts w:cstheme="minorHAnsi"/>
          <w:bCs/>
          <w:iCs/>
        </w:rPr>
        <w:t xml:space="preserve"> </w:t>
      </w:r>
      <w:r w:rsidRPr="00E90E28">
        <w:rPr>
          <w:rFonts w:cstheme="minorHAnsi"/>
          <w:bCs/>
          <w:iCs/>
        </w:rPr>
        <w:t>March 2022 is £4.415m.</w:t>
      </w:r>
    </w:p>
    <w:p w:rsidR="0023310C" w:rsidP="001668A0">
      <w:pPr>
        <w:spacing w:after="0" w:line="240" w:lineRule="auto"/>
        <w:jc w:val="both"/>
        <w:rPr>
          <w:rFonts w:cstheme="minorHAnsi"/>
          <w:bCs/>
        </w:rPr>
      </w:pPr>
    </w:p>
    <w:p w:rsidR="00CA0643" w:rsidP="001668A0">
      <w:pPr>
        <w:spacing w:after="0" w:line="240" w:lineRule="auto"/>
        <w:jc w:val="both"/>
        <w:rPr>
          <w:rFonts w:cstheme="minorHAnsi"/>
          <w:bCs/>
        </w:rPr>
      </w:pPr>
    </w:p>
    <w:p w:rsidR="001668A0" w:rsidRPr="00ED4FF1" w:rsidP="001668A0">
      <w:pPr>
        <w:pStyle w:val="Heading2"/>
        <w:rPr>
          <w:sz w:val="8"/>
        </w:rPr>
      </w:pPr>
      <w:r>
        <w:t>Reasons for Recommendations</w:t>
      </w:r>
    </w:p>
    <w:p w:rsidR="001668A0" w:rsidP="001668A0">
      <w:pPr>
        <w:numPr>
          <w:ilvl w:val="0"/>
          <w:numId w:val="8"/>
        </w:numPr>
        <w:spacing w:after="0" w:line="240" w:lineRule="auto"/>
        <w:jc w:val="both"/>
        <w:rPr>
          <w:rFonts w:cstheme="minorHAnsi"/>
          <w:bCs/>
          <w:iCs/>
        </w:rPr>
      </w:pPr>
      <w:r w:rsidRPr="001668A0">
        <w:rPr>
          <w:rFonts w:cstheme="minorHAnsi"/>
          <w:bCs/>
          <w:iCs/>
        </w:rPr>
        <w:t>To ensure the Council’s budgetary targets are achieved.</w:t>
      </w:r>
    </w:p>
    <w:p w:rsidR="005D3635" w:rsidRPr="003E3722" w:rsidP="005D3635">
      <w:pPr>
        <w:spacing w:after="0" w:line="240" w:lineRule="auto"/>
        <w:ind w:left="360"/>
        <w:jc w:val="both"/>
        <w:rPr>
          <w:rFonts w:cstheme="minorHAnsi"/>
          <w:bCs/>
          <w:iCs/>
        </w:rPr>
      </w:pPr>
    </w:p>
    <w:p w:rsidR="001668A0" w:rsidP="001668A0">
      <w:pPr>
        <w:spacing w:after="0" w:line="240" w:lineRule="auto"/>
        <w:jc w:val="both"/>
        <w:rPr>
          <w:rFonts w:cstheme="minorHAnsi"/>
          <w:bCs/>
        </w:rPr>
      </w:pPr>
    </w:p>
    <w:p w:rsidR="001668A0" w:rsidRPr="00ED4FF1" w:rsidP="001668A0">
      <w:pPr>
        <w:pStyle w:val="Heading2"/>
        <w:rPr>
          <w:sz w:val="8"/>
        </w:rPr>
      </w:pPr>
      <w:r>
        <w:t>Alternative Options Considered and Rejected</w:t>
      </w:r>
    </w:p>
    <w:p w:rsidR="001668A0" w:rsidRPr="003E3722" w:rsidP="001668A0">
      <w:pPr>
        <w:numPr>
          <w:ilvl w:val="0"/>
          <w:numId w:val="8"/>
        </w:numPr>
        <w:spacing w:after="0" w:line="240" w:lineRule="auto"/>
        <w:jc w:val="both"/>
        <w:rPr>
          <w:rFonts w:cstheme="minorHAnsi"/>
          <w:bCs/>
          <w:iCs/>
        </w:rPr>
      </w:pPr>
      <w:r>
        <w:rPr>
          <w:rFonts w:cstheme="minorHAnsi"/>
          <w:bCs/>
          <w:iCs/>
        </w:rPr>
        <w:t>None</w:t>
      </w:r>
    </w:p>
    <w:p w:rsidR="001668A0" w:rsidP="001668A0">
      <w:pPr>
        <w:spacing w:after="0" w:line="240" w:lineRule="auto"/>
        <w:jc w:val="both"/>
        <w:rPr>
          <w:rFonts w:cstheme="minorHAnsi"/>
          <w:bCs/>
          <w:iCs/>
        </w:rPr>
      </w:pPr>
    </w:p>
    <w:p w:rsidR="000179AF" w:rsidRPr="00ED4FF1" w:rsidP="001668A0">
      <w:pPr>
        <w:pStyle w:val="Heading2"/>
      </w:pPr>
      <w:r w:rsidRPr="00ED4FF1">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2A4A7D" w:rsidRPr="006149F1"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286579">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An exemplary council</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Thriving communities</w:t>
            </w:r>
          </w:p>
        </w:tc>
      </w:tr>
      <w:tr w:rsidTr="00286579">
        <w:tblPrEx>
          <w:tblW w:w="9526" w:type="dxa"/>
          <w:tblInd w:w="-5" w:type="dxa"/>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Good homes, green spaces, healthy places</w:t>
            </w:r>
          </w:p>
        </w:tc>
      </w:tr>
    </w:tbl>
    <w:p w:rsidR="000179AF" w:rsidP="001668A0"/>
    <w:p w:rsidR="000179AF" w:rsidRPr="001668A0" w:rsidP="001668A0">
      <w:pPr>
        <w:pStyle w:val="Heading2"/>
      </w:pPr>
      <w:r w:rsidRPr="001668A0">
        <w:t>Background to the report</w:t>
      </w:r>
    </w:p>
    <w:p w:rsidR="000179AF" w:rsidP="00CF42B2">
      <w:pPr>
        <w:numPr>
          <w:ilvl w:val="0"/>
          <w:numId w:val="8"/>
        </w:numPr>
        <w:spacing w:after="0" w:line="240" w:lineRule="auto"/>
        <w:jc w:val="both"/>
        <w:rPr>
          <w:rFonts w:cstheme="minorHAnsi"/>
          <w:bCs/>
          <w:iCs/>
        </w:rPr>
      </w:pPr>
      <w:r w:rsidRPr="001668A0">
        <w:rPr>
          <w:rFonts w:cstheme="minorHAnsi"/>
          <w:bCs/>
          <w:iCs/>
        </w:rPr>
        <w:t xml:space="preserve">The net revenue budget for </w:t>
      </w:r>
      <w:r w:rsidRPr="001668A0">
        <w:rPr>
          <w:rFonts w:cstheme="minorHAnsi"/>
          <w:bCs/>
          <w:iCs/>
        </w:rPr>
        <w:t>2021/22 is £</w:t>
      </w:r>
      <w:r>
        <w:rPr>
          <w:rFonts w:cstheme="minorHAnsi"/>
          <w:bCs/>
          <w:iCs/>
        </w:rPr>
        <w:t>14.480</w:t>
      </w:r>
      <w:r w:rsidRPr="001668A0">
        <w:rPr>
          <w:rFonts w:cstheme="minorHAnsi"/>
          <w:bCs/>
          <w:iCs/>
        </w:rPr>
        <w:t>m.</w:t>
      </w:r>
    </w:p>
    <w:p w:rsidR="001668A0" w:rsidP="001668A0">
      <w:pPr>
        <w:spacing w:after="0" w:line="240" w:lineRule="auto"/>
        <w:ind w:left="360"/>
        <w:jc w:val="both"/>
        <w:rPr>
          <w:rFonts w:cstheme="minorHAnsi"/>
          <w:bCs/>
          <w:iCs/>
        </w:rPr>
      </w:pPr>
    </w:p>
    <w:p w:rsidR="001668A0" w:rsidP="001668A0">
      <w:pPr>
        <w:numPr>
          <w:ilvl w:val="0"/>
          <w:numId w:val="8"/>
        </w:numPr>
        <w:spacing w:after="0" w:line="240" w:lineRule="auto"/>
        <w:jc w:val="both"/>
        <w:rPr>
          <w:rFonts w:cstheme="minorHAnsi"/>
          <w:bCs/>
          <w:iCs/>
        </w:rPr>
      </w:pPr>
      <w:r w:rsidRPr="006D7FE0">
        <w:rPr>
          <w:rFonts w:cstheme="minorHAnsi"/>
          <w:b/>
          <w:bCs/>
          <w:iCs/>
        </w:rPr>
        <w:t xml:space="preserve">Appendix </w:t>
      </w:r>
      <w:r>
        <w:rPr>
          <w:rFonts w:cstheme="minorHAnsi"/>
          <w:b/>
          <w:bCs/>
          <w:iCs/>
        </w:rPr>
        <w:t>3</w:t>
      </w:r>
      <w:r w:rsidRPr="001668A0">
        <w:rPr>
          <w:rFonts w:cstheme="minorHAnsi"/>
          <w:bCs/>
          <w:iCs/>
        </w:rPr>
        <w:t xml:space="preserve"> provides further information about the specific earmarked reserves and provisions available for use throughout 2021/22.</w:t>
      </w:r>
    </w:p>
    <w:p w:rsidR="001668A0" w:rsidP="001668A0">
      <w:pPr>
        <w:spacing w:after="0" w:line="240" w:lineRule="auto"/>
        <w:ind w:left="360"/>
        <w:jc w:val="both"/>
        <w:rPr>
          <w:rFonts w:cstheme="minorHAnsi"/>
          <w:bCs/>
          <w:iCs/>
        </w:rPr>
      </w:pPr>
    </w:p>
    <w:p w:rsidR="001668A0" w:rsidRPr="006D7FE0" w:rsidP="001668A0">
      <w:pPr>
        <w:numPr>
          <w:ilvl w:val="0"/>
          <w:numId w:val="8"/>
        </w:numPr>
        <w:spacing w:after="0" w:line="240" w:lineRule="auto"/>
        <w:jc w:val="both"/>
        <w:rPr>
          <w:rFonts w:cstheme="minorHAnsi"/>
          <w:bCs/>
          <w:iCs/>
        </w:rPr>
      </w:pPr>
      <w:r w:rsidRPr="006D7FE0">
        <w:rPr>
          <w:rFonts w:cstheme="minorHAnsi"/>
          <w:bCs/>
          <w:iCs/>
        </w:rPr>
        <w:t>The Council’s approved revenue budget for 2021/2</w:t>
      </w:r>
      <w:r>
        <w:rPr>
          <w:rFonts w:cstheme="minorHAnsi"/>
          <w:bCs/>
          <w:iCs/>
        </w:rPr>
        <w:t>2</w:t>
      </w:r>
      <w:r w:rsidRPr="006D7FE0">
        <w:rPr>
          <w:rFonts w:cstheme="minorHAnsi"/>
          <w:bCs/>
          <w:iCs/>
        </w:rPr>
        <w:t xml:space="preserve"> included target savings of £190k, comprising £150k in staffing turnover</w:t>
      </w:r>
      <w:r>
        <w:rPr>
          <w:rFonts w:cstheme="minorHAnsi"/>
          <w:bCs/>
          <w:iCs/>
        </w:rPr>
        <w:t>,</w:t>
      </w:r>
      <w:r w:rsidRPr="006D7FE0">
        <w:rPr>
          <w:rFonts w:cstheme="minorHAnsi"/>
          <w:bCs/>
          <w:iCs/>
        </w:rPr>
        <w:t xml:space="preserve"> and £40k from the expansion of shared services.</w:t>
      </w:r>
      <w:r>
        <w:rPr>
          <w:rFonts w:cstheme="minorHAnsi"/>
          <w:bCs/>
          <w:iCs/>
        </w:rPr>
        <w:t xml:space="preserve">  The £150k target has been achieved and deducted from directorate staffing budgets as reported in the previous monitoring report.  The</w:t>
      </w:r>
      <w:r>
        <w:rPr>
          <w:rFonts w:cstheme="minorHAnsi"/>
          <w:bCs/>
          <w:iCs/>
        </w:rPr>
        <w:t xml:space="preserve"> £40k target has not yet been achieved.</w:t>
      </w:r>
    </w:p>
    <w:p w:rsidR="001668A0" w:rsidRPr="001668A0" w:rsidP="001668A0">
      <w:pPr>
        <w:spacing w:after="0" w:line="240" w:lineRule="auto"/>
        <w:jc w:val="both"/>
        <w:rPr>
          <w:rFonts w:cstheme="minorHAnsi"/>
          <w:bCs/>
          <w:iCs/>
        </w:rPr>
      </w:pPr>
    </w:p>
    <w:p w:rsidR="000179AF" w:rsidRPr="00196967" w:rsidP="001668A0">
      <w:pPr>
        <w:pStyle w:val="Heading2"/>
      </w:pPr>
      <w:r>
        <w:t xml:space="preserve">Section A: </w:t>
      </w:r>
      <w:r w:rsidRPr="00196967">
        <w:t>Current Forecast Position – Revenue</w:t>
      </w:r>
    </w:p>
    <w:p w:rsidR="007815C3" w:rsidP="007815C3">
      <w:pPr>
        <w:numPr>
          <w:ilvl w:val="0"/>
          <w:numId w:val="8"/>
        </w:numPr>
        <w:spacing w:after="0" w:line="240" w:lineRule="auto"/>
        <w:jc w:val="both"/>
        <w:rPr>
          <w:rFonts w:cstheme="minorHAnsi"/>
          <w:bCs/>
          <w:iCs/>
        </w:rPr>
      </w:pPr>
      <w:r w:rsidRPr="00196967">
        <w:rPr>
          <w:rFonts w:cstheme="minorHAnsi"/>
          <w:bCs/>
          <w:iCs/>
        </w:rPr>
        <w:t xml:space="preserve">The forecast expenditure based on the position as at </w:t>
      </w:r>
      <w:r>
        <w:rPr>
          <w:rFonts w:cstheme="minorHAnsi"/>
          <w:bCs/>
          <w:iCs/>
        </w:rPr>
        <w:t>30th September</w:t>
      </w:r>
      <w:r w:rsidRPr="00196967">
        <w:rPr>
          <w:rFonts w:cstheme="minorHAnsi"/>
          <w:bCs/>
          <w:iCs/>
        </w:rPr>
        <w:t xml:space="preserve"> 2021 </w:t>
      </w:r>
      <w:r w:rsidRPr="00E90E28">
        <w:rPr>
          <w:rFonts w:cstheme="minorHAnsi"/>
          <w:bCs/>
          <w:iCs/>
        </w:rPr>
        <w:t>is £14.206m</w:t>
      </w:r>
      <w:r w:rsidRPr="00196967">
        <w:rPr>
          <w:rFonts w:cstheme="minorHAnsi"/>
          <w:bCs/>
          <w:iCs/>
        </w:rPr>
        <w:t xml:space="preserve"> against the Council’s budgets of £14.480m.</w:t>
      </w:r>
      <w:r w:rsidRPr="007815C3">
        <w:rPr>
          <w:rFonts w:cstheme="minorHAnsi"/>
          <w:bCs/>
          <w:iCs/>
        </w:rPr>
        <w:t xml:space="preserve"> Details of the </w:t>
      </w:r>
      <w:r>
        <w:rPr>
          <w:rFonts w:cstheme="minorHAnsi"/>
          <w:bCs/>
          <w:iCs/>
        </w:rPr>
        <w:t xml:space="preserve">forecast </w:t>
      </w:r>
      <w:r w:rsidRPr="007815C3">
        <w:rPr>
          <w:rFonts w:cstheme="minorHAnsi"/>
          <w:bCs/>
          <w:iCs/>
        </w:rPr>
        <w:t xml:space="preserve">revenue outturn position are shown in </w:t>
      </w:r>
      <w:r w:rsidRPr="006D7FE0">
        <w:rPr>
          <w:rFonts w:cstheme="minorHAnsi"/>
          <w:b/>
          <w:bCs/>
          <w:iCs/>
        </w:rPr>
        <w:t>Appendix 1</w:t>
      </w:r>
      <w:r w:rsidRPr="007815C3">
        <w:rPr>
          <w:rFonts w:cstheme="minorHAnsi"/>
          <w:bCs/>
          <w:iCs/>
        </w:rPr>
        <w:t xml:space="preserve"> and </w:t>
      </w:r>
      <w:r>
        <w:rPr>
          <w:rFonts w:cstheme="minorHAnsi"/>
          <w:bCs/>
          <w:iCs/>
        </w:rPr>
        <w:t xml:space="preserve">the movement and balances on </w:t>
      </w:r>
      <w:r w:rsidRPr="007815C3">
        <w:rPr>
          <w:rFonts w:cstheme="minorHAnsi"/>
          <w:bCs/>
          <w:iCs/>
        </w:rPr>
        <w:t xml:space="preserve">reserves are outlined in </w:t>
      </w:r>
      <w:r w:rsidRPr="006D7FE0">
        <w:rPr>
          <w:rFonts w:cstheme="minorHAnsi"/>
          <w:b/>
          <w:bCs/>
          <w:iCs/>
        </w:rPr>
        <w:t xml:space="preserve">Appendix </w:t>
      </w:r>
      <w:r>
        <w:rPr>
          <w:rFonts w:cstheme="minorHAnsi"/>
          <w:b/>
          <w:bCs/>
          <w:iCs/>
        </w:rPr>
        <w:t>3</w:t>
      </w:r>
      <w:r w:rsidRPr="007815C3">
        <w:rPr>
          <w:rFonts w:cstheme="minorHAnsi"/>
          <w:bCs/>
          <w:iCs/>
        </w:rPr>
        <w:t>. The main variances</w:t>
      </w:r>
      <w:r>
        <w:rPr>
          <w:rFonts w:cstheme="minorHAnsi"/>
          <w:bCs/>
          <w:iCs/>
        </w:rPr>
        <w:t>,</w:t>
      </w:r>
      <w:r w:rsidRPr="007815C3">
        <w:rPr>
          <w:rFonts w:cstheme="minorHAnsi"/>
          <w:bCs/>
          <w:iCs/>
        </w:rPr>
        <w:t xml:space="preserve"> by </w:t>
      </w:r>
      <w:r>
        <w:rPr>
          <w:rFonts w:cstheme="minorHAnsi"/>
          <w:bCs/>
          <w:iCs/>
        </w:rPr>
        <w:t>directorate,</w:t>
      </w:r>
      <w:r w:rsidRPr="007815C3">
        <w:rPr>
          <w:rFonts w:cstheme="minorHAnsi"/>
          <w:bCs/>
          <w:iCs/>
        </w:rPr>
        <w:t xml:space="preserve"> are detailed below.</w:t>
      </w:r>
    </w:p>
    <w:p w:rsidR="00625FD5" w:rsidP="00625FD5">
      <w:pPr>
        <w:spacing w:after="0" w:line="240" w:lineRule="auto"/>
        <w:ind w:left="360"/>
        <w:jc w:val="both"/>
        <w:rPr>
          <w:rFonts w:cstheme="minorHAnsi"/>
          <w:bCs/>
          <w:iCs/>
        </w:rPr>
      </w:pPr>
    </w:p>
    <w:p w:rsidR="00625FD5" w:rsidP="007815C3">
      <w:pPr>
        <w:numPr>
          <w:ilvl w:val="0"/>
          <w:numId w:val="8"/>
        </w:numPr>
        <w:spacing w:after="0" w:line="240" w:lineRule="auto"/>
        <w:jc w:val="both"/>
        <w:rPr>
          <w:rFonts w:cstheme="minorHAnsi"/>
          <w:bCs/>
          <w:iCs/>
        </w:rPr>
      </w:pPr>
      <w:r>
        <w:rPr>
          <w:rFonts w:cstheme="minorHAnsi"/>
          <w:bCs/>
          <w:iCs/>
        </w:rPr>
        <w:t>The staffing</w:t>
      </w:r>
      <w:r>
        <w:rPr>
          <w:rFonts w:cstheme="minorHAnsi"/>
          <w:bCs/>
          <w:iCs/>
        </w:rPr>
        <w:t xml:space="preserve"> budgets were set with no assumed percentage increase for a pay award but with a £250 increase for salaries below £25k, </w:t>
      </w:r>
      <w:r w:rsidRPr="004232C9">
        <w:rPr>
          <w:rFonts w:cstheme="minorHAnsi"/>
          <w:bCs/>
          <w:iCs/>
        </w:rPr>
        <w:t xml:space="preserve">in line with the </w:t>
      </w:r>
      <w:r>
        <w:rPr>
          <w:rFonts w:cstheme="minorHAnsi"/>
          <w:bCs/>
          <w:iCs/>
        </w:rPr>
        <w:t>G</w:t>
      </w:r>
      <w:r w:rsidRPr="004232C9">
        <w:rPr>
          <w:rFonts w:cstheme="minorHAnsi"/>
          <w:bCs/>
          <w:iCs/>
        </w:rPr>
        <w:t xml:space="preserve">overnment announcement </w:t>
      </w:r>
      <w:r>
        <w:rPr>
          <w:rFonts w:cstheme="minorHAnsi"/>
          <w:bCs/>
          <w:iCs/>
        </w:rPr>
        <w:t>at the time.  Since then, negotiations have been ongoing between the National Joint Council tra</w:t>
      </w:r>
      <w:r>
        <w:rPr>
          <w:rFonts w:cstheme="minorHAnsi"/>
          <w:bCs/>
          <w:iCs/>
        </w:rPr>
        <w:t>des unions and the National Employers, and a final offer of a 1.75% increase has been offered to the unions.  The staffing forecasts have been updated to reflect this although it must be noted that the offer has not yet been accepted.  The impact is an inc</w:t>
      </w:r>
      <w:r>
        <w:rPr>
          <w:rFonts w:cstheme="minorHAnsi"/>
          <w:bCs/>
          <w:iCs/>
        </w:rPr>
        <w:t>rease in staffing costs of around £142k for the current year.</w:t>
      </w:r>
    </w:p>
    <w:p w:rsidR="004230F3" w:rsidP="004230F3">
      <w:pPr>
        <w:spacing w:after="0" w:line="240" w:lineRule="auto"/>
        <w:ind w:left="360"/>
        <w:jc w:val="both"/>
        <w:rPr>
          <w:rFonts w:cstheme="minorHAnsi"/>
          <w:bCs/>
          <w:iCs/>
        </w:rPr>
      </w:pPr>
    </w:p>
    <w:p w:rsidR="004115E5">
      <w:pPr>
        <w:rPr>
          <w:rFonts w:cstheme="minorHAnsi"/>
          <w:bCs/>
          <w:iCs/>
        </w:rPr>
      </w:pPr>
      <w:r>
        <w:rPr>
          <w:rFonts w:cstheme="minorHAnsi"/>
          <w:bCs/>
          <w:iCs/>
        </w:rPr>
        <w:br w:type="page"/>
      </w:r>
    </w:p>
    <w:p w:rsidR="007815C3" w:rsidRPr="007815C3" w:rsidP="007815C3">
      <w:pPr>
        <w:spacing w:after="0" w:line="240" w:lineRule="auto"/>
        <w:ind w:left="360"/>
        <w:jc w:val="both"/>
        <w:rPr>
          <w:rFonts w:cstheme="minorHAnsi"/>
          <w:b/>
          <w:bCs/>
          <w:iCs/>
          <w:u w:val="single"/>
        </w:rPr>
      </w:pPr>
      <w:r w:rsidRPr="007815C3">
        <w:rPr>
          <w:rFonts w:cstheme="minorHAnsi"/>
          <w:b/>
          <w:bCs/>
          <w:iCs/>
          <w:u w:val="single"/>
        </w:rPr>
        <w:t>Variations from Budget</w:t>
      </w:r>
    </w:p>
    <w:p w:rsidR="007815C3" w:rsidP="007815C3">
      <w:pPr>
        <w:spacing w:after="0" w:line="240" w:lineRule="auto"/>
        <w:ind w:left="360"/>
        <w:jc w:val="both"/>
        <w:rPr>
          <w:rFonts w:cstheme="minorHAnsi"/>
          <w:bCs/>
          <w:iCs/>
        </w:rPr>
      </w:pPr>
    </w:p>
    <w:tbl>
      <w:tblPr>
        <w:tblW w:w="0" w:type="auto"/>
        <w:jc w:val="center"/>
        <w:tblLook w:val="04A0"/>
      </w:tblPr>
      <w:tblGrid>
        <w:gridCol w:w="3289"/>
        <w:gridCol w:w="1440"/>
        <w:gridCol w:w="1440"/>
        <w:gridCol w:w="1561"/>
      </w:tblGrid>
      <w:tr w:rsidTr="00160E72">
        <w:tblPrEx>
          <w:tblW w:w="0" w:type="auto"/>
          <w:jc w:val="center"/>
          <w:tblLook w:val="04A0"/>
        </w:tblPrEx>
        <w:trPr>
          <w:trHeight w:val="315"/>
          <w:jc w:val="center"/>
        </w:trPr>
        <w:tc>
          <w:tcPr>
            <w:tcW w:w="3289" w:type="dxa"/>
            <w:tcBorders>
              <w:top w:val="single" w:sz="4" w:space="0" w:color="auto"/>
              <w:left w:val="single" w:sz="4" w:space="0" w:color="auto"/>
              <w:bottom w:val="nil"/>
              <w:right w:val="single" w:sz="4" w:space="0" w:color="auto"/>
            </w:tcBorders>
            <w:shd w:val="clear" w:color="000000" w:fill="D9D9D9"/>
            <w:noWrap/>
            <w:vAlign w:val="center"/>
            <w:hideMark/>
          </w:tcPr>
          <w:p w:rsidR="00F8769B" w:rsidRPr="00F8769B" w:rsidP="00F8769B">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Directorate</w:t>
            </w:r>
          </w:p>
        </w:tc>
        <w:tc>
          <w:tcPr>
            <w:tcW w:w="1440" w:type="dxa"/>
            <w:tcBorders>
              <w:top w:val="single" w:sz="4" w:space="0" w:color="auto"/>
              <w:left w:val="nil"/>
              <w:bottom w:val="nil"/>
              <w:right w:val="single" w:sz="4" w:space="0" w:color="auto"/>
            </w:tcBorders>
            <w:shd w:val="clear" w:color="000000" w:fill="D9D9D9"/>
            <w:noWrap/>
            <w:vAlign w:val="center"/>
            <w:hideMark/>
          </w:tcPr>
          <w:p w:rsidR="00F8769B" w:rsidRP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Budget</w:t>
            </w:r>
          </w:p>
        </w:tc>
        <w:tc>
          <w:tcPr>
            <w:tcW w:w="1440" w:type="dxa"/>
            <w:tcBorders>
              <w:top w:val="single" w:sz="4" w:space="0" w:color="auto"/>
              <w:left w:val="nil"/>
              <w:bottom w:val="nil"/>
              <w:right w:val="single" w:sz="4" w:space="0" w:color="auto"/>
            </w:tcBorders>
            <w:shd w:val="clear" w:color="000000" w:fill="D9D9D9"/>
            <w:noWrap/>
            <w:vAlign w:val="center"/>
            <w:hideMark/>
          </w:tcPr>
          <w:p w:rsidR="00F8769B" w:rsidRP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30</w:t>
            </w:r>
            <w:r w:rsidRPr="000C11F8">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21</w:t>
            </w:r>
          </w:p>
        </w:tc>
        <w:tc>
          <w:tcPr>
            <w:tcW w:w="1561" w:type="dxa"/>
            <w:tcBorders>
              <w:top w:val="single" w:sz="4" w:space="0" w:color="auto"/>
              <w:left w:val="nil"/>
              <w:bottom w:val="nil"/>
              <w:right w:val="single" w:sz="4" w:space="0" w:color="auto"/>
            </w:tcBorders>
            <w:shd w:val="clear" w:color="000000" w:fill="D9D9D9"/>
            <w:noWrap/>
            <w:vAlign w:val="center"/>
            <w:hideMark/>
          </w:tcPr>
          <w:p w:rsid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Variance</w:t>
            </w:r>
          </w:p>
          <w:p w:rsidR="00C235DB" w:rsidRPr="00F8769B" w:rsidP="00F8769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(Under)/Over spend</w:t>
            </w:r>
          </w:p>
        </w:tc>
      </w:tr>
      <w:tr w:rsidTr="00160E72">
        <w:tblPrEx>
          <w:tblW w:w="0" w:type="auto"/>
          <w:jc w:val="center"/>
          <w:tblLook w:val="04A0"/>
        </w:tblPrEx>
        <w:trPr>
          <w:trHeight w:val="315"/>
          <w:jc w:val="center"/>
        </w:trPr>
        <w:tc>
          <w:tcPr>
            <w:tcW w:w="3289" w:type="dxa"/>
            <w:tcBorders>
              <w:top w:val="nil"/>
              <w:left w:val="single" w:sz="4" w:space="0" w:color="auto"/>
              <w:bottom w:val="single" w:sz="4" w:space="0" w:color="auto"/>
              <w:right w:val="single" w:sz="4" w:space="0" w:color="auto"/>
            </w:tcBorders>
            <w:shd w:val="clear" w:color="000000" w:fill="D9D9D9"/>
            <w:noWrap/>
            <w:vAlign w:val="center"/>
            <w:hideMark/>
          </w:tcPr>
          <w:p w:rsidR="00F8769B" w:rsidRPr="00F8769B" w:rsidP="00F8769B">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 </w:t>
            </w:r>
          </w:p>
        </w:tc>
        <w:tc>
          <w:tcPr>
            <w:tcW w:w="1440" w:type="dxa"/>
            <w:tcBorders>
              <w:top w:val="nil"/>
              <w:left w:val="nil"/>
              <w:bottom w:val="single" w:sz="4" w:space="0" w:color="auto"/>
              <w:right w:val="single" w:sz="4" w:space="0" w:color="auto"/>
            </w:tcBorders>
            <w:shd w:val="clear" w:color="000000" w:fill="D9D9D9"/>
            <w:noWrap/>
            <w:vAlign w:val="center"/>
            <w:hideMark/>
          </w:tcPr>
          <w:p w:rsidR="00F8769B" w:rsidRP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D9D9D9"/>
            <w:noWrap/>
            <w:vAlign w:val="center"/>
            <w:hideMark/>
          </w:tcPr>
          <w:p w:rsidR="00F8769B" w:rsidRP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561" w:type="dxa"/>
            <w:tcBorders>
              <w:top w:val="nil"/>
              <w:left w:val="nil"/>
              <w:bottom w:val="single" w:sz="4" w:space="0" w:color="auto"/>
              <w:right w:val="single" w:sz="4" w:space="0" w:color="auto"/>
            </w:tcBorders>
            <w:shd w:val="clear" w:color="000000" w:fill="D9D9D9"/>
            <w:noWrap/>
            <w:vAlign w:val="center"/>
            <w:hideMark/>
          </w:tcPr>
          <w:p w:rsidR="00F8769B" w:rsidRPr="00F8769B"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0F5562" w:rsidP="00474DFC">
            <w:pPr>
              <w:spacing w:after="0" w:line="240" w:lineRule="auto"/>
              <w:rPr>
                <w:rFonts w:ascii="Arial" w:eastAsia="Times New Roman" w:hAnsi="Arial" w:cs="Arial"/>
                <w:color w:val="000000"/>
                <w:lang w:eastAsia="en-GB"/>
              </w:rPr>
            </w:pPr>
            <w:r w:rsidRPr="000F5562">
              <w:rPr>
                <w:rFonts w:ascii="Arial" w:eastAsia="Times New Roman" w:hAnsi="Arial" w:cs="Arial"/>
                <w:color w:val="000000"/>
                <w:lang w:eastAsia="en-GB"/>
              </w:rPr>
              <w:t>Commercial &amp; Property</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1,750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1,789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39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Communities</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1,689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1,507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(182)</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Customer &amp; Digital</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6,217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6,074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(143)</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Governance</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1,796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1,826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30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Planning &amp; Development</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582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441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(141)</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Policy</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1,882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1,904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22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Budgets Not In Directorates</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564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950 </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386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Covid-19</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c>
          <w:tcPr>
            <w:tcW w:w="1440" w:type="dxa"/>
            <w:tcBorders>
              <w:top w:val="nil"/>
              <w:left w:val="nil"/>
              <w:bottom w:val="nil"/>
              <w:right w:val="nil"/>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(286)</w:t>
            </w:r>
          </w:p>
        </w:tc>
        <w:tc>
          <w:tcPr>
            <w:tcW w:w="1561" w:type="dxa"/>
            <w:tcBorders>
              <w:top w:val="nil"/>
              <w:left w:val="nil"/>
              <w:bottom w:val="nil"/>
              <w:right w:val="single" w:sz="4" w:space="0" w:color="auto"/>
            </w:tcBorders>
            <w:shd w:val="clear" w:color="auto" w:fill="auto"/>
            <w:noWrap/>
            <w:vAlign w:val="center"/>
          </w:tcPr>
          <w:p w:rsidR="00474DFC" w:rsidRPr="00196967" w:rsidP="00474DFC">
            <w:pPr>
              <w:spacing w:after="0" w:line="240" w:lineRule="auto"/>
              <w:jc w:val="right"/>
              <w:rPr>
                <w:rFonts w:ascii="Arial" w:eastAsia="Times New Roman" w:hAnsi="Arial" w:cs="Arial"/>
                <w:color w:val="000000"/>
                <w:lang w:eastAsia="en-GB"/>
              </w:rPr>
            </w:pPr>
            <w:r>
              <w:rPr>
                <w:rFonts w:ascii="Arial" w:hAnsi="Arial" w:cs="Arial"/>
                <w:color w:val="000000"/>
              </w:rPr>
              <w:t>(286)</w:t>
            </w:r>
          </w:p>
        </w:tc>
      </w:tr>
      <w:tr w:rsidTr="00FA0BDB">
        <w:tblPrEx>
          <w:tblW w:w="0" w:type="auto"/>
          <w:jc w:val="center"/>
          <w:tblLook w:val="04A0"/>
        </w:tblPrEx>
        <w:trPr>
          <w:trHeight w:val="315"/>
          <w:jc w:val="center"/>
        </w:trPr>
        <w:tc>
          <w:tcPr>
            <w:tcW w:w="3289" w:type="dxa"/>
            <w:tcBorders>
              <w:top w:val="nil"/>
              <w:left w:val="single" w:sz="4" w:space="0" w:color="auto"/>
              <w:bottom w:val="nil"/>
              <w:right w:val="nil"/>
            </w:tcBorders>
            <w:shd w:val="clear" w:color="auto" w:fill="auto"/>
            <w:noWrap/>
            <w:vAlign w:val="center"/>
            <w:hideMark/>
          </w:tcPr>
          <w:p w:rsidR="00474DFC" w:rsidRPr="00F8769B" w:rsidP="00474DFC">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Total Expenditure</w:t>
            </w:r>
          </w:p>
        </w:tc>
        <w:tc>
          <w:tcPr>
            <w:tcW w:w="1440" w:type="dxa"/>
            <w:tcBorders>
              <w:top w:val="single" w:sz="4" w:space="0" w:color="auto"/>
              <w:left w:val="nil"/>
              <w:bottom w:val="single" w:sz="4" w:space="0" w:color="auto"/>
              <w:right w:val="nil"/>
            </w:tcBorders>
            <w:shd w:val="clear" w:color="auto" w:fill="auto"/>
            <w:noWrap/>
            <w:vAlign w:val="center"/>
          </w:tcPr>
          <w:p w:rsidR="00474DFC" w:rsidRPr="00F8769B"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14,480 </w:t>
            </w:r>
          </w:p>
        </w:tc>
        <w:tc>
          <w:tcPr>
            <w:tcW w:w="1440" w:type="dxa"/>
            <w:tcBorders>
              <w:top w:val="single" w:sz="4" w:space="0" w:color="auto"/>
              <w:left w:val="nil"/>
              <w:bottom w:val="single" w:sz="4" w:space="0" w:color="auto"/>
              <w:right w:val="nil"/>
            </w:tcBorders>
            <w:shd w:val="clear" w:color="auto" w:fill="auto"/>
            <w:noWrap/>
            <w:vAlign w:val="center"/>
          </w:tcPr>
          <w:p w:rsidR="00474DFC" w:rsidRPr="00F8769B"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14,206 </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474DFC" w:rsidRPr="00F8769B"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(274)</w:t>
            </w:r>
          </w:p>
        </w:tc>
      </w:tr>
      <w:tr w:rsidTr="00A2712E">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tcPr>
          <w:p w:rsidR="00F8769B" w:rsidRPr="00F8769B" w:rsidP="00F8769B">
            <w:pPr>
              <w:spacing w:after="0" w:line="240" w:lineRule="auto"/>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center"/>
          </w:tcPr>
          <w:p w:rsidR="00F8769B" w:rsidRPr="00F8769B" w:rsidP="00F8769B">
            <w:pPr>
              <w:spacing w:after="0" w:line="240" w:lineRule="auto"/>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center"/>
          </w:tcPr>
          <w:p w:rsidR="00F8769B" w:rsidRPr="00F8769B" w:rsidP="00F8769B">
            <w:pPr>
              <w:spacing w:after="0" w:line="240" w:lineRule="auto"/>
              <w:rPr>
                <w:rFonts w:ascii="Times New Roman" w:eastAsia="Times New Roman" w:hAnsi="Times New Roman" w:cs="Times New Roman"/>
                <w:sz w:val="20"/>
                <w:szCs w:val="20"/>
                <w:lang w:eastAsia="en-GB"/>
              </w:rPr>
            </w:pPr>
          </w:p>
        </w:tc>
        <w:tc>
          <w:tcPr>
            <w:tcW w:w="1561" w:type="dxa"/>
            <w:tcBorders>
              <w:top w:val="nil"/>
              <w:left w:val="nil"/>
              <w:bottom w:val="nil"/>
              <w:right w:val="single" w:sz="4" w:space="0" w:color="auto"/>
            </w:tcBorders>
            <w:shd w:val="clear" w:color="auto" w:fill="auto"/>
            <w:noWrap/>
            <w:vAlign w:val="center"/>
          </w:tcPr>
          <w:p w:rsidR="00F8769B" w:rsidRPr="00F8769B" w:rsidP="00F8769B">
            <w:pPr>
              <w:spacing w:after="0" w:line="240" w:lineRule="auto"/>
              <w:rPr>
                <w:rFonts w:ascii="Arial" w:eastAsia="Times New Roman" w:hAnsi="Arial" w:cs="Arial"/>
                <w:color w:val="000000"/>
                <w:lang w:eastAsia="en-GB"/>
              </w:rPr>
            </w:pPr>
          </w:p>
        </w:tc>
      </w:tr>
      <w:tr w:rsidTr="00FA0BDB">
        <w:tblPrEx>
          <w:tblW w:w="0" w:type="auto"/>
          <w:jc w:val="center"/>
          <w:tblLook w:val="04A0"/>
        </w:tblPrEx>
        <w:trPr>
          <w:trHeight w:val="300"/>
          <w:jc w:val="center"/>
        </w:trPr>
        <w:tc>
          <w:tcPr>
            <w:tcW w:w="3289" w:type="dxa"/>
            <w:tcBorders>
              <w:top w:val="single" w:sz="4" w:space="0" w:color="auto"/>
              <w:left w:val="single" w:sz="4" w:space="0" w:color="auto"/>
              <w:bottom w:val="nil"/>
              <w:right w:val="single" w:sz="4" w:space="0" w:color="auto"/>
            </w:tcBorders>
            <w:shd w:val="clear" w:color="000000" w:fill="D9D9D9"/>
            <w:noWrap/>
            <w:vAlign w:val="center"/>
            <w:hideMark/>
          </w:tcPr>
          <w:p w:rsidR="000C11F8" w:rsidRPr="00F8769B"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Funding</w:t>
            </w:r>
          </w:p>
        </w:tc>
        <w:tc>
          <w:tcPr>
            <w:tcW w:w="1440" w:type="dxa"/>
            <w:tcBorders>
              <w:top w:val="single" w:sz="4" w:space="0" w:color="auto"/>
              <w:left w:val="nil"/>
              <w:bottom w:val="nil"/>
              <w:right w:val="single" w:sz="4" w:space="0" w:color="auto"/>
            </w:tcBorders>
            <w:shd w:val="clear" w:color="000000" w:fill="D9D9D9"/>
            <w:noWrap/>
            <w:vAlign w:val="center"/>
          </w:tcPr>
          <w:p w:rsidR="000C11F8" w:rsidRPr="00F8769B"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Budget</w:t>
            </w:r>
          </w:p>
        </w:tc>
        <w:tc>
          <w:tcPr>
            <w:tcW w:w="1440" w:type="dxa"/>
            <w:tcBorders>
              <w:top w:val="single" w:sz="4" w:space="0" w:color="auto"/>
              <w:left w:val="nil"/>
              <w:bottom w:val="nil"/>
              <w:right w:val="single" w:sz="4" w:space="0" w:color="auto"/>
            </w:tcBorders>
            <w:shd w:val="clear" w:color="000000" w:fill="D9D9D9"/>
            <w:noWrap/>
            <w:vAlign w:val="center"/>
          </w:tcPr>
          <w:p w:rsidR="000C11F8" w:rsidRPr="00F8769B"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30</w:t>
            </w:r>
            <w:r w:rsidRPr="000C11F8">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21</w:t>
            </w:r>
          </w:p>
        </w:tc>
        <w:tc>
          <w:tcPr>
            <w:tcW w:w="1561" w:type="dxa"/>
            <w:tcBorders>
              <w:top w:val="single" w:sz="4" w:space="0" w:color="auto"/>
              <w:left w:val="nil"/>
              <w:bottom w:val="nil"/>
              <w:right w:val="single" w:sz="4" w:space="0" w:color="auto"/>
            </w:tcBorders>
            <w:shd w:val="clear" w:color="000000" w:fill="D9D9D9"/>
            <w:noWrap/>
            <w:vAlign w:val="center"/>
          </w:tcPr>
          <w:p w:rsidR="000C11F8"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Variance</w:t>
            </w:r>
          </w:p>
          <w:p w:rsidR="000C11F8" w:rsidRPr="00F8769B" w:rsidP="000C11F8">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(Under)/Over spend</w:t>
            </w:r>
          </w:p>
        </w:tc>
      </w:tr>
      <w:tr w:rsidTr="00FA0BDB">
        <w:tblPrEx>
          <w:tblW w:w="0" w:type="auto"/>
          <w:jc w:val="center"/>
          <w:tblLook w:val="04A0"/>
        </w:tblPrEx>
        <w:trPr>
          <w:trHeight w:val="300"/>
          <w:jc w:val="center"/>
        </w:trPr>
        <w:tc>
          <w:tcPr>
            <w:tcW w:w="3289" w:type="dxa"/>
            <w:tcBorders>
              <w:top w:val="nil"/>
              <w:left w:val="single" w:sz="4" w:space="0" w:color="auto"/>
              <w:bottom w:val="single" w:sz="4" w:space="0" w:color="auto"/>
              <w:right w:val="single" w:sz="4" w:space="0" w:color="auto"/>
            </w:tcBorders>
            <w:shd w:val="clear" w:color="000000" w:fill="D9D9D9"/>
            <w:noWrap/>
            <w:vAlign w:val="center"/>
            <w:hideMark/>
          </w:tcPr>
          <w:p w:rsidR="000C11F8" w:rsidRPr="00F8769B"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 </w:t>
            </w:r>
          </w:p>
        </w:tc>
        <w:tc>
          <w:tcPr>
            <w:tcW w:w="1440" w:type="dxa"/>
            <w:tcBorders>
              <w:top w:val="nil"/>
              <w:left w:val="nil"/>
              <w:bottom w:val="single" w:sz="4" w:space="0" w:color="auto"/>
              <w:right w:val="single" w:sz="4" w:space="0" w:color="auto"/>
            </w:tcBorders>
            <w:shd w:val="clear" w:color="000000" w:fill="D9D9D9"/>
            <w:noWrap/>
            <w:vAlign w:val="center"/>
          </w:tcPr>
          <w:p w:rsidR="000C11F8" w:rsidRPr="00F8769B"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D9D9D9"/>
            <w:noWrap/>
            <w:vAlign w:val="center"/>
          </w:tcPr>
          <w:p w:rsidR="000C11F8" w:rsidRPr="00F8769B"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561" w:type="dxa"/>
            <w:tcBorders>
              <w:top w:val="nil"/>
              <w:left w:val="nil"/>
              <w:bottom w:val="single" w:sz="4" w:space="0" w:color="auto"/>
              <w:right w:val="single" w:sz="4" w:space="0" w:color="auto"/>
            </w:tcBorders>
            <w:shd w:val="clear" w:color="000000" w:fill="D9D9D9"/>
            <w:noWrap/>
            <w:vAlign w:val="center"/>
          </w:tcPr>
          <w:p w:rsidR="000C11F8" w:rsidRPr="00F8769B"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Council Tax</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(8,599)</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(8,599)</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Lower Tier Support Grant</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(100)</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(100)</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New Homes Bonus</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(363)</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(363)</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Reserves</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(124)</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(124)</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 xml:space="preserve">Retained </w:t>
            </w:r>
            <w:r w:rsidRPr="00F8769B">
              <w:rPr>
                <w:rFonts w:ascii="Arial" w:eastAsia="Times New Roman" w:hAnsi="Arial" w:cs="Arial"/>
                <w:color w:val="000000"/>
                <w:lang w:eastAsia="en-GB"/>
              </w:rPr>
              <w:t>Business Rates</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(3,829)</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(3,829)</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00"/>
          <w:jc w:val="center"/>
        </w:trPr>
        <w:tc>
          <w:tcPr>
            <w:tcW w:w="3289" w:type="dxa"/>
            <w:tcBorders>
              <w:top w:val="nil"/>
              <w:left w:val="single" w:sz="4" w:space="0" w:color="auto"/>
              <w:bottom w:val="nil"/>
              <w:right w:val="nil"/>
            </w:tcBorders>
            <w:shd w:val="clear" w:color="auto" w:fill="auto"/>
            <w:noWrap/>
            <w:vAlign w:val="center"/>
            <w:hideMark/>
          </w:tcPr>
          <w:p w:rsidR="000C11F8" w:rsidRPr="00F8769B"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Section 31 Government Grants</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(1,465)</w:t>
            </w:r>
          </w:p>
        </w:tc>
        <w:tc>
          <w:tcPr>
            <w:tcW w:w="1440" w:type="dxa"/>
            <w:tcBorders>
              <w:top w:val="nil"/>
              <w:left w:val="nil"/>
              <w:bottom w:val="nil"/>
              <w:right w:val="nil"/>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(1,465)</w:t>
            </w:r>
          </w:p>
        </w:tc>
        <w:tc>
          <w:tcPr>
            <w:tcW w:w="1561" w:type="dxa"/>
            <w:tcBorders>
              <w:top w:val="nil"/>
              <w:left w:val="nil"/>
              <w:bottom w:val="nil"/>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Tr="00FA0BDB">
        <w:tblPrEx>
          <w:tblW w:w="0" w:type="auto"/>
          <w:jc w:val="center"/>
          <w:tblLook w:val="04A0"/>
        </w:tblPrEx>
        <w:trPr>
          <w:trHeight w:val="315"/>
          <w:jc w:val="center"/>
        </w:trPr>
        <w:tc>
          <w:tcPr>
            <w:tcW w:w="3289" w:type="dxa"/>
            <w:tcBorders>
              <w:top w:val="nil"/>
              <w:left w:val="single" w:sz="4" w:space="0" w:color="auto"/>
              <w:bottom w:val="single" w:sz="4" w:space="0" w:color="auto"/>
              <w:right w:val="nil"/>
            </w:tcBorders>
            <w:shd w:val="clear" w:color="auto" w:fill="auto"/>
            <w:noWrap/>
            <w:vAlign w:val="center"/>
            <w:hideMark/>
          </w:tcPr>
          <w:p w:rsidR="000C11F8" w:rsidRPr="00F8769B"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Total Funding</w:t>
            </w:r>
          </w:p>
        </w:tc>
        <w:tc>
          <w:tcPr>
            <w:tcW w:w="1440" w:type="dxa"/>
            <w:tcBorders>
              <w:top w:val="single" w:sz="4" w:space="0" w:color="auto"/>
              <w:left w:val="nil"/>
              <w:bottom w:val="single" w:sz="4" w:space="0" w:color="auto"/>
              <w:right w:val="nil"/>
            </w:tcBorders>
            <w:shd w:val="clear" w:color="auto" w:fill="auto"/>
            <w:noWrap/>
            <w:vAlign w:val="center"/>
          </w:tcPr>
          <w:p w:rsidR="000C11F8" w:rsidRPr="00F8769B"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(14,480)</w:t>
            </w:r>
          </w:p>
        </w:tc>
        <w:tc>
          <w:tcPr>
            <w:tcW w:w="1440" w:type="dxa"/>
            <w:tcBorders>
              <w:top w:val="single" w:sz="4" w:space="0" w:color="auto"/>
              <w:left w:val="nil"/>
              <w:bottom w:val="single" w:sz="4" w:space="0" w:color="auto"/>
              <w:right w:val="nil"/>
            </w:tcBorders>
            <w:shd w:val="clear" w:color="auto" w:fill="auto"/>
            <w:noWrap/>
            <w:vAlign w:val="center"/>
          </w:tcPr>
          <w:p w:rsidR="000C11F8" w:rsidRPr="00F8769B"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(14,480)</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0C11F8" w:rsidRPr="00F8769B"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  </w:t>
            </w:r>
          </w:p>
        </w:tc>
      </w:tr>
    </w:tbl>
    <w:p w:rsidR="007815C3" w:rsidP="007815C3">
      <w:pPr>
        <w:spacing w:after="0" w:line="240" w:lineRule="auto"/>
        <w:ind w:left="360"/>
        <w:jc w:val="both"/>
        <w:rPr>
          <w:rFonts w:cstheme="minorHAnsi"/>
          <w:bCs/>
          <w:iCs/>
        </w:rPr>
      </w:pPr>
    </w:p>
    <w:p w:rsidR="004232C9" w:rsidP="007815C3">
      <w:pPr>
        <w:spacing w:after="0" w:line="240" w:lineRule="auto"/>
        <w:ind w:left="360"/>
        <w:jc w:val="both"/>
        <w:rPr>
          <w:rFonts w:cstheme="minorHAnsi"/>
          <w:bCs/>
          <w:iCs/>
        </w:rPr>
      </w:pPr>
    </w:p>
    <w:p w:rsidR="00C235DB" w:rsidRPr="004230F3" w:rsidP="009860E8">
      <w:pPr>
        <w:numPr>
          <w:ilvl w:val="0"/>
          <w:numId w:val="8"/>
        </w:numPr>
        <w:spacing w:after="0" w:line="240" w:lineRule="auto"/>
        <w:jc w:val="both"/>
        <w:rPr>
          <w:rFonts w:cstheme="minorHAnsi"/>
          <w:bCs/>
          <w:iCs/>
        </w:rPr>
      </w:pPr>
      <w:r w:rsidRPr="00294F75">
        <w:rPr>
          <w:rFonts w:cstheme="minorHAnsi"/>
          <w:b/>
          <w:bCs/>
          <w:iCs/>
        </w:rPr>
        <w:t>Commercial and Property</w:t>
      </w:r>
      <w:r>
        <w:rPr>
          <w:rFonts w:cstheme="minorHAnsi"/>
          <w:b/>
          <w:bCs/>
          <w:iCs/>
        </w:rPr>
        <w:t xml:space="preserve"> – overspend of £39k</w:t>
      </w:r>
    </w:p>
    <w:p w:rsidR="000C11F8" w:rsidP="000C11F8">
      <w:pPr>
        <w:numPr>
          <w:ilvl w:val="0"/>
          <w:numId w:val="11"/>
        </w:numPr>
        <w:spacing w:after="0" w:line="240" w:lineRule="auto"/>
        <w:jc w:val="both"/>
        <w:rPr>
          <w:rFonts w:cstheme="minorHAnsi"/>
          <w:bCs/>
          <w:iCs/>
        </w:rPr>
      </w:pPr>
      <w:r>
        <w:rPr>
          <w:rFonts w:cstheme="minorHAnsi"/>
          <w:bCs/>
          <w:iCs/>
        </w:rPr>
        <w:t xml:space="preserve">The forecast is based on a reduced income of £94k from investment </w:t>
      </w:r>
      <w:r>
        <w:rPr>
          <w:rFonts w:cstheme="minorHAnsi"/>
          <w:bCs/>
          <w:iCs/>
        </w:rPr>
        <w:t>properties, the market and the business and conference centre.</w:t>
      </w:r>
    </w:p>
    <w:p w:rsidR="000C11F8" w:rsidP="000C11F8">
      <w:pPr>
        <w:numPr>
          <w:ilvl w:val="0"/>
          <w:numId w:val="11"/>
        </w:numPr>
        <w:spacing w:after="0" w:line="240" w:lineRule="auto"/>
        <w:jc w:val="both"/>
        <w:rPr>
          <w:rFonts w:cstheme="minorHAnsi"/>
          <w:bCs/>
          <w:iCs/>
        </w:rPr>
      </w:pPr>
      <w:r>
        <w:rPr>
          <w:rFonts w:cstheme="minorHAnsi"/>
          <w:bCs/>
          <w:iCs/>
        </w:rPr>
        <w:t>Additional staffing costs of £53k have been included in the projections, in respect of support required in the facilities and estates teams.</w:t>
      </w:r>
    </w:p>
    <w:p w:rsidR="00F8769B" w:rsidRPr="009C795C" w:rsidP="000C11F8">
      <w:pPr>
        <w:numPr>
          <w:ilvl w:val="0"/>
          <w:numId w:val="11"/>
        </w:numPr>
        <w:spacing w:after="0" w:line="240" w:lineRule="auto"/>
        <w:jc w:val="both"/>
        <w:rPr>
          <w:rFonts w:cstheme="minorHAnsi"/>
          <w:bCs/>
          <w:iCs/>
        </w:rPr>
      </w:pPr>
      <w:r w:rsidRPr="009C795C">
        <w:rPr>
          <w:rFonts w:cstheme="minorHAnsi"/>
          <w:bCs/>
          <w:iCs/>
        </w:rPr>
        <w:t xml:space="preserve">Leisure Services is forecasted to </w:t>
      </w:r>
      <w:r w:rsidRPr="009C795C">
        <w:rPr>
          <w:rFonts w:cstheme="minorHAnsi"/>
          <w:bCs/>
          <w:iCs/>
        </w:rPr>
        <w:t>underspend by £78k.  South Ribble Leisure Ltd was established on 1</w:t>
      </w:r>
      <w:r w:rsidRPr="009C795C">
        <w:rPr>
          <w:rFonts w:cstheme="minorHAnsi"/>
          <w:bCs/>
          <w:iCs/>
          <w:vertAlign w:val="superscript"/>
        </w:rPr>
        <w:t>st</w:t>
      </w:r>
      <w:r w:rsidRPr="009C795C">
        <w:rPr>
          <w:rFonts w:cstheme="minorHAnsi"/>
          <w:bCs/>
          <w:iCs/>
        </w:rPr>
        <w:t xml:space="preserve"> September 2021 and over the 7 month period September 2021 to March 2022 the Council will pay an agreed payment, under contract, to the company for service delivery.  The Council’s leisure</w:t>
      </w:r>
      <w:r w:rsidRPr="009C795C">
        <w:rPr>
          <w:rFonts w:cstheme="minorHAnsi"/>
          <w:bCs/>
          <w:iCs/>
        </w:rPr>
        <w:t xml:space="preserve"> services budget was set based on assumed costs for continuing to run the service in-house throughout the year.  The budget included costs for NNDR but the company has exemptions from paying these costs, which is the main reason for a forecasted underspend</w:t>
      </w:r>
      <w:r w:rsidRPr="009C795C">
        <w:rPr>
          <w:rFonts w:cstheme="minorHAnsi"/>
          <w:bCs/>
          <w:iCs/>
        </w:rPr>
        <w:t>.</w:t>
      </w:r>
    </w:p>
    <w:p w:rsidR="007815C3" w:rsidP="007815C3">
      <w:pPr>
        <w:spacing w:after="0" w:line="240" w:lineRule="auto"/>
        <w:ind w:left="360"/>
        <w:jc w:val="both"/>
        <w:rPr>
          <w:rFonts w:cstheme="minorHAnsi"/>
          <w:bCs/>
          <w:iCs/>
        </w:rPr>
      </w:pPr>
    </w:p>
    <w:p w:rsidR="009D449E" w:rsidP="007815C3">
      <w:pPr>
        <w:numPr>
          <w:ilvl w:val="0"/>
          <w:numId w:val="8"/>
        </w:numPr>
        <w:spacing w:after="0" w:line="240" w:lineRule="auto"/>
        <w:jc w:val="both"/>
        <w:rPr>
          <w:rFonts w:cstheme="minorHAnsi"/>
          <w:bCs/>
          <w:iCs/>
        </w:rPr>
      </w:pPr>
      <w:r w:rsidRPr="00F37E50">
        <w:rPr>
          <w:rFonts w:cstheme="minorHAnsi"/>
          <w:b/>
          <w:bCs/>
          <w:iCs/>
        </w:rPr>
        <w:t>Communities</w:t>
      </w:r>
      <w:r>
        <w:rPr>
          <w:rFonts w:cstheme="minorHAnsi"/>
          <w:b/>
          <w:bCs/>
          <w:iCs/>
        </w:rPr>
        <w:t xml:space="preserve"> – underspend of £182k</w:t>
      </w:r>
    </w:p>
    <w:p w:rsidR="00BA0B05" w:rsidRPr="00196967" w:rsidP="00BA0B05">
      <w:pPr>
        <w:numPr>
          <w:ilvl w:val="0"/>
          <w:numId w:val="12"/>
        </w:numPr>
        <w:spacing w:after="0" w:line="240" w:lineRule="auto"/>
        <w:jc w:val="both"/>
        <w:rPr>
          <w:rFonts w:cstheme="minorHAnsi"/>
          <w:bCs/>
          <w:iCs/>
        </w:rPr>
      </w:pPr>
      <w:r>
        <w:rPr>
          <w:rFonts w:cstheme="minorHAnsi"/>
          <w:bCs/>
          <w:iCs/>
        </w:rPr>
        <w:t>Community Involvement has an underspend of £55k due to staffing vacancies.  The vacant assistant director post is generating an underspend of £34k, which is being used to offset the overspend of £15k in Environmental He</w:t>
      </w:r>
      <w:r>
        <w:rPr>
          <w:rFonts w:cstheme="minorHAnsi"/>
          <w:bCs/>
          <w:iCs/>
        </w:rPr>
        <w:t>alth, which is due to additional staffing costs for a shared service lead.</w:t>
      </w:r>
    </w:p>
    <w:p w:rsidR="00160E72" w:rsidP="00BA0B05">
      <w:pPr>
        <w:pStyle w:val="ListParagraph"/>
        <w:numPr>
          <w:ilvl w:val="0"/>
          <w:numId w:val="12"/>
        </w:numPr>
        <w:spacing w:after="0" w:line="240" w:lineRule="auto"/>
        <w:jc w:val="both"/>
        <w:rPr>
          <w:rFonts w:cstheme="minorHAnsi"/>
          <w:bCs/>
          <w:iCs/>
        </w:rPr>
      </w:pPr>
      <w:r w:rsidRPr="00196967">
        <w:rPr>
          <w:rFonts w:cstheme="minorHAnsi"/>
          <w:bCs/>
          <w:iCs/>
        </w:rPr>
        <w:t>Additional grant funding relating to Homelessness of £</w:t>
      </w:r>
      <w:r>
        <w:rPr>
          <w:rFonts w:cstheme="minorHAnsi"/>
          <w:bCs/>
          <w:iCs/>
        </w:rPr>
        <w:t>49</w:t>
      </w:r>
      <w:r w:rsidRPr="00196967">
        <w:rPr>
          <w:rFonts w:cstheme="minorHAnsi"/>
          <w:bCs/>
          <w:iCs/>
        </w:rPr>
        <w:t>k is shown as a surplus because there are not yet definitive plans for spending</w:t>
      </w:r>
      <w:r>
        <w:rPr>
          <w:rFonts w:cstheme="minorHAnsi"/>
          <w:bCs/>
          <w:iCs/>
        </w:rPr>
        <w:t xml:space="preserve"> this</w:t>
      </w:r>
      <w:r w:rsidRPr="00196967">
        <w:rPr>
          <w:rFonts w:cstheme="minorHAnsi"/>
          <w:bCs/>
          <w:iCs/>
        </w:rPr>
        <w:t>.</w:t>
      </w:r>
    </w:p>
    <w:p w:rsidR="000C7363" w:rsidRPr="00196967" w:rsidP="00BA0B05">
      <w:pPr>
        <w:pStyle w:val="ListParagraph"/>
        <w:numPr>
          <w:ilvl w:val="0"/>
          <w:numId w:val="12"/>
        </w:numPr>
        <w:spacing w:after="0" w:line="240" w:lineRule="auto"/>
        <w:jc w:val="both"/>
        <w:rPr>
          <w:rFonts w:cstheme="minorHAnsi"/>
          <w:bCs/>
          <w:iCs/>
        </w:rPr>
      </w:pPr>
      <w:r>
        <w:rPr>
          <w:rFonts w:cstheme="minorHAnsi"/>
          <w:bCs/>
          <w:iCs/>
        </w:rPr>
        <w:t>Housing Support is forecast to underspe</w:t>
      </w:r>
      <w:r>
        <w:rPr>
          <w:rFonts w:cstheme="minorHAnsi"/>
          <w:bCs/>
          <w:iCs/>
        </w:rPr>
        <w:t>nd due to the expected level of the admin charge for Disabled Facilities Grants, which is charged to capital expenditure; it is expected that this will be £50k higher than the budget.  The charge is based on the value of capital expenditure incurred, which</w:t>
      </w:r>
      <w:r>
        <w:rPr>
          <w:rFonts w:cstheme="minorHAnsi"/>
          <w:bCs/>
          <w:iCs/>
        </w:rPr>
        <w:t xml:space="preserve"> is forecast to be much higher than the level assumed when the budget was set.</w:t>
      </w:r>
    </w:p>
    <w:p w:rsidR="007815C3" w:rsidRPr="00196967" w:rsidP="007815C3">
      <w:pPr>
        <w:spacing w:after="0" w:line="240" w:lineRule="auto"/>
        <w:ind w:left="360"/>
        <w:jc w:val="both"/>
        <w:rPr>
          <w:rFonts w:cstheme="minorHAnsi"/>
          <w:bCs/>
          <w:iCs/>
        </w:rPr>
      </w:pPr>
    </w:p>
    <w:p w:rsidR="009D449E" w:rsidRPr="00196967" w:rsidP="007815C3">
      <w:pPr>
        <w:numPr>
          <w:ilvl w:val="0"/>
          <w:numId w:val="8"/>
        </w:numPr>
        <w:spacing w:after="0" w:line="240" w:lineRule="auto"/>
        <w:jc w:val="both"/>
        <w:rPr>
          <w:rFonts w:cstheme="minorHAnsi"/>
          <w:bCs/>
          <w:iCs/>
        </w:rPr>
      </w:pPr>
      <w:r w:rsidRPr="00196967">
        <w:rPr>
          <w:rFonts w:cstheme="minorHAnsi"/>
          <w:b/>
          <w:bCs/>
          <w:iCs/>
        </w:rPr>
        <w:t>Customer and Digital</w:t>
      </w:r>
      <w:r>
        <w:rPr>
          <w:rFonts w:cstheme="minorHAnsi"/>
          <w:b/>
          <w:bCs/>
          <w:iCs/>
        </w:rPr>
        <w:t xml:space="preserve"> – underspend of £143k</w:t>
      </w:r>
    </w:p>
    <w:p w:rsidR="00BA0B05" w:rsidP="00BA0B05">
      <w:pPr>
        <w:pStyle w:val="ListParagraph"/>
        <w:numPr>
          <w:ilvl w:val="0"/>
          <w:numId w:val="13"/>
        </w:numPr>
        <w:spacing w:after="0" w:line="240" w:lineRule="auto"/>
        <w:jc w:val="both"/>
        <w:rPr>
          <w:rFonts w:cstheme="minorHAnsi"/>
          <w:bCs/>
          <w:iCs/>
        </w:rPr>
      </w:pPr>
      <w:r>
        <w:rPr>
          <w:rFonts w:cstheme="minorHAnsi"/>
          <w:bCs/>
          <w:iCs/>
        </w:rPr>
        <w:t>There is a surplus forecast of £149k on the housing benefit subsidy, based on the mid-year estimate.</w:t>
      </w:r>
    </w:p>
    <w:p w:rsidR="00126CED" w:rsidRPr="00196967" w:rsidP="00BA0B05">
      <w:pPr>
        <w:pStyle w:val="ListParagraph"/>
        <w:numPr>
          <w:ilvl w:val="0"/>
          <w:numId w:val="13"/>
        </w:numPr>
        <w:spacing w:after="0" w:line="240" w:lineRule="auto"/>
        <w:jc w:val="both"/>
        <w:rPr>
          <w:rFonts w:cstheme="minorHAnsi"/>
          <w:bCs/>
          <w:iCs/>
        </w:rPr>
      </w:pPr>
      <w:r>
        <w:rPr>
          <w:rFonts w:cstheme="minorHAnsi"/>
          <w:bCs/>
          <w:iCs/>
        </w:rPr>
        <w:t>The Customer Services and the Re</w:t>
      </w:r>
      <w:r>
        <w:rPr>
          <w:rFonts w:cstheme="minorHAnsi"/>
          <w:bCs/>
          <w:iCs/>
        </w:rPr>
        <w:t xml:space="preserve">venues and Benefits cost centres have a forecast underspend of £138k </w:t>
      </w:r>
      <w:r w:rsidRPr="00196967">
        <w:rPr>
          <w:rFonts w:cstheme="minorHAnsi"/>
          <w:bCs/>
          <w:iCs/>
        </w:rPr>
        <w:t>on staffing costs due to vacant posts; a service review is in progress.</w:t>
      </w:r>
    </w:p>
    <w:p w:rsidR="00BA0B05" w:rsidRPr="00551839" w:rsidP="00BA0B05">
      <w:pPr>
        <w:pStyle w:val="ListParagraph"/>
        <w:numPr>
          <w:ilvl w:val="0"/>
          <w:numId w:val="13"/>
        </w:numPr>
        <w:spacing w:after="0" w:line="240" w:lineRule="auto"/>
        <w:jc w:val="both"/>
        <w:rPr>
          <w:rFonts w:cstheme="minorHAnsi"/>
          <w:bCs/>
          <w:iCs/>
        </w:rPr>
      </w:pPr>
      <w:r w:rsidRPr="00196967">
        <w:rPr>
          <w:rFonts w:cstheme="minorHAnsi"/>
          <w:bCs/>
          <w:iCs/>
        </w:rPr>
        <w:t>Parks and Neighbourhoods</w:t>
      </w:r>
      <w:r w:rsidRPr="00551839">
        <w:rPr>
          <w:rFonts w:cstheme="minorHAnsi"/>
          <w:bCs/>
          <w:iCs/>
        </w:rPr>
        <w:t xml:space="preserve"> is underspent on staffing </w:t>
      </w:r>
      <w:r w:rsidRPr="00904762">
        <w:rPr>
          <w:rFonts w:cstheme="minorHAnsi"/>
          <w:bCs/>
          <w:iCs/>
        </w:rPr>
        <w:t>by £18k</w:t>
      </w:r>
      <w:r w:rsidRPr="00551839">
        <w:rPr>
          <w:rFonts w:cstheme="minorHAnsi"/>
          <w:bCs/>
          <w:iCs/>
        </w:rPr>
        <w:t xml:space="preserve"> due to vacancies</w:t>
      </w:r>
    </w:p>
    <w:p w:rsidR="00BA0B05" w:rsidP="00BA0B05">
      <w:pPr>
        <w:pStyle w:val="ListParagraph"/>
        <w:numPr>
          <w:ilvl w:val="0"/>
          <w:numId w:val="13"/>
        </w:numPr>
        <w:spacing w:after="0" w:line="240" w:lineRule="auto"/>
        <w:jc w:val="both"/>
        <w:rPr>
          <w:rFonts w:cstheme="minorHAnsi"/>
          <w:bCs/>
          <w:iCs/>
        </w:rPr>
      </w:pPr>
      <w:r w:rsidRPr="004230F3">
        <w:rPr>
          <w:rFonts w:cstheme="minorHAnsi"/>
          <w:bCs/>
          <w:iCs/>
        </w:rPr>
        <w:t xml:space="preserve">This is offset by reduced income from court summonses of £95k and </w:t>
      </w:r>
      <w:r>
        <w:rPr>
          <w:rFonts w:cstheme="minorHAnsi"/>
          <w:bCs/>
          <w:iCs/>
        </w:rPr>
        <w:t>p</w:t>
      </w:r>
      <w:r w:rsidRPr="004230F3">
        <w:rPr>
          <w:rFonts w:cstheme="minorHAnsi"/>
          <w:bCs/>
          <w:iCs/>
        </w:rPr>
        <w:t xml:space="preserve">arking income of £93k.  </w:t>
      </w:r>
    </w:p>
    <w:p w:rsidR="007815C3" w:rsidRPr="008B7664" w:rsidP="00BA0B05">
      <w:pPr>
        <w:pStyle w:val="ListParagraph"/>
        <w:numPr>
          <w:ilvl w:val="0"/>
          <w:numId w:val="13"/>
        </w:numPr>
        <w:spacing w:after="0" w:line="240" w:lineRule="auto"/>
        <w:jc w:val="both"/>
        <w:rPr>
          <w:rFonts w:cstheme="minorHAnsi"/>
          <w:bCs/>
          <w:iCs/>
        </w:rPr>
      </w:pPr>
      <w:r w:rsidRPr="009D449E">
        <w:rPr>
          <w:rFonts w:cstheme="minorHAnsi"/>
          <w:bCs/>
          <w:iCs/>
        </w:rPr>
        <w:t>Garden waste income has a surplus of £87k but trade waste income is down by £1</w:t>
      </w:r>
      <w:r>
        <w:rPr>
          <w:rFonts w:cstheme="minorHAnsi"/>
          <w:bCs/>
          <w:iCs/>
        </w:rPr>
        <w:t>6</w:t>
      </w:r>
      <w:r w:rsidRPr="009D449E">
        <w:rPr>
          <w:rFonts w:cstheme="minorHAnsi"/>
          <w:bCs/>
          <w:iCs/>
        </w:rPr>
        <w:t>k.</w:t>
      </w:r>
    </w:p>
    <w:p w:rsidR="007815C3" w:rsidP="007815C3">
      <w:pPr>
        <w:spacing w:after="0" w:line="240" w:lineRule="auto"/>
        <w:ind w:left="360"/>
        <w:jc w:val="both"/>
        <w:rPr>
          <w:rFonts w:cstheme="minorHAnsi"/>
          <w:bCs/>
          <w:iCs/>
        </w:rPr>
      </w:pPr>
    </w:p>
    <w:p w:rsidR="009D449E" w:rsidP="004230F3">
      <w:pPr>
        <w:numPr>
          <w:ilvl w:val="0"/>
          <w:numId w:val="8"/>
        </w:numPr>
        <w:spacing w:after="0" w:line="240" w:lineRule="auto"/>
        <w:jc w:val="both"/>
        <w:rPr>
          <w:rFonts w:cstheme="minorHAnsi"/>
          <w:bCs/>
          <w:iCs/>
        </w:rPr>
      </w:pPr>
      <w:r w:rsidRPr="00F37E50">
        <w:rPr>
          <w:rFonts w:cstheme="minorHAnsi"/>
          <w:b/>
          <w:bCs/>
          <w:iCs/>
        </w:rPr>
        <w:t xml:space="preserve">Governance </w:t>
      </w:r>
      <w:r>
        <w:rPr>
          <w:rFonts w:cstheme="minorHAnsi"/>
          <w:b/>
          <w:bCs/>
          <w:iCs/>
        </w:rPr>
        <w:t xml:space="preserve">– overspend of £30k </w:t>
      </w:r>
    </w:p>
    <w:p w:rsidR="007815C3" w:rsidRPr="00FA0BDB" w:rsidP="002E5B71">
      <w:pPr>
        <w:pStyle w:val="ListParagraph"/>
        <w:numPr>
          <w:ilvl w:val="0"/>
          <w:numId w:val="13"/>
        </w:numPr>
        <w:spacing w:after="0" w:line="240" w:lineRule="auto"/>
        <w:jc w:val="both"/>
        <w:rPr>
          <w:rFonts w:cstheme="minorHAnsi"/>
          <w:bCs/>
          <w:iCs/>
        </w:rPr>
      </w:pPr>
      <w:r>
        <w:rPr>
          <w:rFonts w:cstheme="minorHAnsi"/>
          <w:bCs/>
          <w:iCs/>
        </w:rPr>
        <w:t xml:space="preserve">£23k of this relates to a forecast overspend on Democratic Services due to additional staffing costs. </w:t>
      </w:r>
    </w:p>
    <w:p w:rsidR="007815C3" w:rsidP="007815C3">
      <w:pPr>
        <w:spacing w:after="0" w:line="240" w:lineRule="auto"/>
        <w:ind w:left="360"/>
        <w:jc w:val="both"/>
        <w:rPr>
          <w:rFonts w:cstheme="minorHAnsi"/>
          <w:bCs/>
          <w:iCs/>
        </w:rPr>
      </w:pPr>
    </w:p>
    <w:p w:rsidR="009D449E" w:rsidRPr="008B7664" w:rsidP="009D449E">
      <w:pPr>
        <w:numPr>
          <w:ilvl w:val="0"/>
          <w:numId w:val="8"/>
        </w:numPr>
        <w:spacing w:after="0" w:line="240" w:lineRule="auto"/>
        <w:jc w:val="both"/>
        <w:rPr>
          <w:rFonts w:cstheme="minorHAnsi"/>
          <w:bCs/>
          <w:iCs/>
        </w:rPr>
      </w:pPr>
      <w:r w:rsidRPr="009D449E">
        <w:rPr>
          <w:rFonts w:cstheme="minorHAnsi"/>
          <w:b/>
          <w:bCs/>
          <w:iCs/>
        </w:rPr>
        <w:t>Planning and Development</w:t>
      </w:r>
      <w:r>
        <w:rPr>
          <w:rFonts w:cstheme="minorHAnsi"/>
          <w:b/>
          <w:bCs/>
          <w:iCs/>
        </w:rPr>
        <w:t xml:space="preserve"> – underspend of £141k </w:t>
      </w:r>
    </w:p>
    <w:p w:rsidR="007815C3" w:rsidP="004230F3">
      <w:pPr>
        <w:pStyle w:val="ListParagraph"/>
        <w:numPr>
          <w:ilvl w:val="0"/>
          <w:numId w:val="14"/>
        </w:numPr>
        <w:spacing w:after="0" w:line="240" w:lineRule="auto"/>
        <w:jc w:val="both"/>
        <w:rPr>
          <w:rFonts w:cstheme="minorHAnsi"/>
          <w:bCs/>
          <w:iCs/>
        </w:rPr>
      </w:pPr>
      <w:r>
        <w:rPr>
          <w:rFonts w:cstheme="minorHAnsi"/>
          <w:bCs/>
          <w:iCs/>
        </w:rPr>
        <w:t>Planning fee income is forecast to be in surplus by £71k against the budget.  There are also staffing va</w:t>
      </w:r>
      <w:r>
        <w:rPr>
          <w:rFonts w:cstheme="minorHAnsi"/>
          <w:bCs/>
          <w:iCs/>
        </w:rPr>
        <w:t>cancies resulting in further underspends of £40k.</w:t>
      </w:r>
    </w:p>
    <w:p w:rsidR="009B627B" w:rsidRPr="008B7664" w:rsidP="004230F3">
      <w:pPr>
        <w:pStyle w:val="ListParagraph"/>
        <w:numPr>
          <w:ilvl w:val="0"/>
          <w:numId w:val="14"/>
        </w:numPr>
        <w:spacing w:after="0" w:line="240" w:lineRule="auto"/>
        <w:jc w:val="both"/>
        <w:rPr>
          <w:rFonts w:cstheme="minorHAnsi"/>
          <w:bCs/>
          <w:iCs/>
        </w:rPr>
      </w:pPr>
      <w:r>
        <w:rPr>
          <w:rFonts w:cstheme="minorHAnsi"/>
          <w:bCs/>
          <w:iCs/>
        </w:rPr>
        <w:t>The apprentices budget within the Investment and Skills service has an underspend of £44k due to vacancies.</w:t>
      </w:r>
    </w:p>
    <w:p w:rsidR="007815C3" w:rsidP="007815C3">
      <w:pPr>
        <w:spacing w:after="0" w:line="240" w:lineRule="auto"/>
        <w:ind w:left="360"/>
        <w:jc w:val="both"/>
        <w:rPr>
          <w:rFonts w:cstheme="minorHAnsi"/>
          <w:bCs/>
          <w:iCs/>
        </w:rPr>
      </w:pPr>
    </w:p>
    <w:p w:rsidR="009D449E" w:rsidP="004230F3">
      <w:pPr>
        <w:numPr>
          <w:ilvl w:val="0"/>
          <w:numId w:val="8"/>
        </w:numPr>
        <w:spacing w:after="0" w:line="240" w:lineRule="auto"/>
        <w:jc w:val="both"/>
        <w:rPr>
          <w:rFonts w:cstheme="minorHAnsi"/>
          <w:bCs/>
          <w:iCs/>
        </w:rPr>
      </w:pPr>
      <w:r w:rsidRPr="00F37E50">
        <w:rPr>
          <w:rFonts w:cstheme="minorHAnsi"/>
          <w:b/>
          <w:bCs/>
          <w:iCs/>
        </w:rPr>
        <w:t>Policy</w:t>
      </w:r>
      <w:r>
        <w:rPr>
          <w:rFonts w:cstheme="minorHAnsi"/>
          <w:b/>
          <w:bCs/>
          <w:iCs/>
        </w:rPr>
        <w:t xml:space="preserve"> – overspend of £22k</w:t>
      </w:r>
    </w:p>
    <w:p w:rsidR="007815C3" w:rsidRPr="0098082A" w:rsidP="004E031C">
      <w:pPr>
        <w:pStyle w:val="ListParagraph"/>
        <w:numPr>
          <w:ilvl w:val="0"/>
          <w:numId w:val="14"/>
        </w:numPr>
        <w:spacing w:after="0" w:line="240" w:lineRule="auto"/>
        <w:jc w:val="both"/>
        <w:rPr>
          <w:rFonts w:cstheme="minorHAnsi"/>
          <w:bCs/>
          <w:iCs/>
        </w:rPr>
      </w:pPr>
      <w:r w:rsidRPr="0098082A">
        <w:rPr>
          <w:rFonts w:cstheme="minorHAnsi"/>
          <w:bCs/>
          <w:iCs/>
        </w:rPr>
        <w:t>Shared Financial Services has a forecasted overspend of £</w:t>
      </w:r>
      <w:r>
        <w:rPr>
          <w:rFonts w:cstheme="minorHAnsi"/>
          <w:bCs/>
          <w:iCs/>
        </w:rPr>
        <w:t>20</w:t>
      </w:r>
      <w:r w:rsidRPr="0098082A">
        <w:rPr>
          <w:rFonts w:cstheme="minorHAnsi"/>
          <w:bCs/>
          <w:iCs/>
        </w:rPr>
        <w:t xml:space="preserve">k due to </w:t>
      </w:r>
      <w:r w:rsidRPr="0098082A">
        <w:rPr>
          <w:rFonts w:cstheme="minorHAnsi"/>
          <w:bCs/>
          <w:iCs/>
        </w:rPr>
        <w:t>additional costs for agency staff.</w:t>
      </w:r>
      <w:r>
        <w:rPr>
          <w:rFonts w:cstheme="minorHAnsi"/>
          <w:bCs/>
          <w:iCs/>
        </w:rPr>
        <w:t xml:space="preserve">  This is a temporary cost increase while business grants are brought to a close.</w:t>
      </w:r>
    </w:p>
    <w:p w:rsidR="007815C3" w:rsidP="004E031C">
      <w:pPr>
        <w:pStyle w:val="ListParagraph"/>
        <w:spacing w:after="0" w:line="240" w:lineRule="auto"/>
        <w:jc w:val="both"/>
        <w:rPr>
          <w:rFonts w:cstheme="minorHAnsi"/>
          <w:bCs/>
          <w:iCs/>
        </w:rPr>
      </w:pPr>
    </w:p>
    <w:p w:rsidR="009D449E" w:rsidP="007815C3">
      <w:pPr>
        <w:numPr>
          <w:ilvl w:val="0"/>
          <w:numId w:val="8"/>
        </w:numPr>
        <w:spacing w:after="0" w:line="240" w:lineRule="auto"/>
        <w:jc w:val="both"/>
        <w:rPr>
          <w:rFonts w:cstheme="minorHAnsi"/>
          <w:bCs/>
          <w:iCs/>
        </w:rPr>
      </w:pPr>
      <w:r w:rsidRPr="00F37E50">
        <w:rPr>
          <w:rFonts w:cstheme="minorHAnsi"/>
          <w:b/>
          <w:bCs/>
          <w:iCs/>
        </w:rPr>
        <w:t>Budgets Not In Directorates</w:t>
      </w:r>
      <w:r>
        <w:rPr>
          <w:rFonts w:cstheme="minorHAnsi"/>
          <w:b/>
          <w:bCs/>
          <w:iCs/>
        </w:rPr>
        <w:t xml:space="preserve"> – overspend of £386k</w:t>
      </w:r>
    </w:p>
    <w:p w:rsidR="00704F33" w:rsidRPr="004230F3" w:rsidP="00704F33">
      <w:pPr>
        <w:pStyle w:val="ListParagraph"/>
        <w:numPr>
          <w:ilvl w:val="0"/>
          <w:numId w:val="14"/>
        </w:numPr>
        <w:spacing w:after="0" w:line="240" w:lineRule="auto"/>
        <w:jc w:val="both"/>
        <w:rPr>
          <w:rFonts w:cstheme="minorHAnsi"/>
          <w:bCs/>
          <w:iCs/>
        </w:rPr>
      </w:pPr>
      <w:r>
        <w:rPr>
          <w:rFonts w:cstheme="minorHAnsi"/>
          <w:bCs/>
          <w:iCs/>
        </w:rPr>
        <w:t>As noted in the last Revenue Monitoring Report presented to Cabinet in September, a</w:t>
      </w:r>
      <w:r w:rsidRPr="008B7664">
        <w:rPr>
          <w:rFonts w:cstheme="minorHAnsi"/>
          <w:bCs/>
          <w:iCs/>
        </w:rPr>
        <w:t>ddition</w:t>
      </w:r>
      <w:r w:rsidRPr="008B7664">
        <w:rPr>
          <w:rFonts w:cstheme="minorHAnsi"/>
          <w:bCs/>
          <w:iCs/>
        </w:rPr>
        <w:t xml:space="preserve">al pension </w:t>
      </w:r>
      <w:r w:rsidRPr="00B800E8">
        <w:rPr>
          <w:rFonts w:cstheme="minorHAnsi"/>
          <w:bCs/>
          <w:iCs/>
        </w:rPr>
        <w:t>contributions of £353k will</w:t>
      </w:r>
      <w:r w:rsidRPr="00B008AF">
        <w:rPr>
          <w:rFonts w:cstheme="minorHAnsi"/>
          <w:bCs/>
          <w:iCs/>
        </w:rPr>
        <w:t xml:space="preserve"> be required</w:t>
      </w:r>
      <w:r w:rsidRPr="008B7664">
        <w:rPr>
          <w:rFonts w:cstheme="minorHAnsi"/>
          <w:bCs/>
          <w:iCs/>
        </w:rPr>
        <w:t xml:space="preserve"> due to an under</w:t>
      </w:r>
      <w:r>
        <w:rPr>
          <w:rFonts w:cstheme="minorHAnsi"/>
          <w:bCs/>
          <w:iCs/>
        </w:rPr>
        <w:t xml:space="preserve">payment of advance pension contributions paid </w:t>
      </w:r>
      <w:r w:rsidRPr="00C1069F">
        <w:rPr>
          <w:rFonts w:cstheme="minorHAnsi"/>
          <w:bCs/>
          <w:iCs/>
        </w:rPr>
        <w:t>to the Lancashire Pension Fund in April 2020.</w:t>
      </w:r>
      <w:r w:rsidRPr="004230F3">
        <w:rPr>
          <w:rFonts w:cstheme="minorHAnsi"/>
          <w:bCs/>
          <w:iCs/>
        </w:rPr>
        <w:t xml:space="preserve">  </w:t>
      </w:r>
      <w:r>
        <w:rPr>
          <w:rFonts w:cstheme="minorHAnsi"/>
          <w:bCs/>
          <w:iCs/>
        </w:rPr>
        <w:t xml:space="preserve">This has resulted in an in-year overspend </w:t>
      </w:r>
      <w:r w:rsidRPr="003E7F88">
        <w:rPr>
          <w:rFonts w:cstheme="minorHAnsi"/>
          <w:bCs/>
          <w:iCs/>
        </w:rPr>
        <w:t>of £240k on</w:t>
      </w:r>
      <w:r>
        <w:rPr>
          <w:rFonts w:cstheme="minorHAnsi"/>
          <w:bCs/>
          <w:iCs/>
        </w:rPr>
        <w:t xml:space="preserve"> pensions.</w:t>
      </w:r>
    </w:p>
    <w:p w:rsidR="00704F33" w:rsidRPr="00635BC3" w:rsidP="00704F33">
      <w:pPr>
        <w:pStyle w:val="ListParagraph"/>
        <w:numPr>
          <w:ilvl w:val="0"/>
          <w:numId w:val="14"/>
        </w:numPr>
        <w:spacing w:after="0" w:line="240" w:lineRule="auto"/>
        <w:jc w:val="both"/>
        <w:rPr>
          <w:rFonts w:cstheme="minorHAnsi"/>
          <w:bCs/>
          <w:iCs/>
        </w:rPr>
      </w:pPr>
      <w:r w:rsidRPr="008B7664">
        <w:rPr>
          <w:rFonts w:cstheme="minorHAnsi"/>
          <w:bCs/>
          <w:iCs/>
        </w:rPr>
        <w:t>The</w:t>
      </w:r>
      <w:r>
        <w:rPr>
          <w:rFonts w:cstheme="minorHAnsi"/>
          <w:bCs/>
          <w:iCs/>
        </w:rPr>
        <w:t xml:space="preserve"> original</w:t>
      </w:r>
      <w:r w:rsidRPr="008B7664">
        <w:rPr>
          <w:rFonts w:cstheme="minorHAnsi"/>
          <w:bCs/>
          <w:iCs/>
        </w:rPr>
        <w:t xml:space="preserve"> revenue budget inclu</w:t>
      </w:r>
      <w:r w:rsidRPr="008B7664">
        <w:rPr>
          <w:rFonts w:cstheme="minorHAnsi"/>
          <w:bCs/>
          <w:iCs/>
        </w:rPr>
        <w:t>de</w:t>
      </w:r>
      <w:r>
        <w:rPr>
          <w:rFonts w:cstheme="minorHAnsi"/>
          <w:bCs/>
          <w:iCs/>
        </w:rPr>
        <w:t>d</w:t>
      </w:r>
      <w:r w:rsidRPr="008B7664">
        <w:rPr>
          <w:rFonts w:cstheme="minorHAnsi"/>
          <w:bCs/>
          <w:iCs/>
        </w:rPr>
        <w:t xml:space="preserve"> savings target</w:t>
      </w:r>
      <w:r>
        <w:rPr>
          <w:rFonts w:cstheme="minorHAnsi"/>
          <w:bCs/>
          <w:iCs/>
        </w:rPr>
        <w:t>s</w:t>
      </w:r>
      <w:r w:rsidRPr="008B7664">
        <w:rPr>
          <w:rFonts w:cstheme="minorHAnsi"/>
          <w:bCs/>
          <w:iCs/>
        </w:rPr>
        <w:t xml:space="preserve"> of £150k for staffing turnover and £40k for expanding shared services</w:t>
      </w:r>
      <w:r>
        <w:rPr>
          <w:rFonts w:cstheme="minorHAnsi"/>
          <w:bCs/>
          <w:iCs/>
        </w:rPr>
        <w:t>.  The full savings of £150k have already been achieved and these have been deducted from directorate staffing budgets; £75k to Communities and £75k to Customer and Di</w:t>
      </w:r>
      <w:r>
        <w:rPr>
          <w:rFonts w:cstheme="minorHAnsi"/>
          <w:bCs/>
          <w:iCs/>
        </w:rPr>
        <w:t>gital.  The £40k savings target in respect of shared services will be identified following the reviews currently in progress.</w:t>
      </w:r>
    </w:p>
    <w:p w:rsidR="0098082A" w:rsidP="0098082A">
      <w:pPr>
        <w:pStyle w:val="ListParagraph"/>
        <w:numPr>
          <w:ilvl w:val="0"/>
          <w:numId w:val="14"/>
        </w:numPr>
        <w:spacing w:after="0" w:line="240" w:lineRule="auto"/>
        <w:jc w:val="both"/>
        <w:rPr>
          <w:rFonts w:cstheme="minorHAnsi"/>
          <w:bCs/>
          <w:iCs/>
        </w:rPr>
      </w:pPr>
      <w:r w:rsidRPr="009C795C">
        <w:rPr>
          <w:rFonts w:cstheme="minorHAnsi"/>
          <w:bCs/>
          <w:iCs/>
        </w:rPr>
        <w:t>Parish precepts are £44k higher than budget due to the fact that</w:t>
      </w:r>
      <w:r w:rsidRPr="009C795C">
        <w:rPr>
          <w:rFonts w:cstheme="minorHAnsi"/>
          <w:bCs/>
          <w:iCs/>
        </w:rPr>
        <w:t xml:space="preserve"> their value was not available when the budget was set.</w:t>
      </w:r>
    </w:p>
    <w:p w:rsidR="00886CD7" w:rsidP="0098082A">
      <w:pPr>
        <w:pStyle w:val="ListParagraph"/>
        <w:numPr>
          <w:ilvl w:val="0"/>
          <w:numId w:val="14"/>
        </w:numPr>
        <w:spacing w:after="0" w:line="240" w:lineRule="auto"/>
        <w:jc w:val="both"/>
        <w:rPr>
          <w:rFonts w:cstheme="minorHAnsi"/>
          <w:bCs/>
          <w:iCs/>
        </w:rPr>
      </w:pPr>
      <w:r w:rsidRPr="0098082A">
        <w:rPr>
          <w:rFonts w:cstheme="minorHAnsi"/>
          <w:bCs/>
          <w:iCs/>
        </w:rPr>
        <w:t>Net Interest Receivable/Payable is forecast to be £63k overspent for 2021/22.</w:t>
      </w:r>
    </w:p>
    <w:p w:rsidR="0098082A" w:rsidRPr="0098082A" w:rsidP="0098082A">
      <w:pPr>
        <w:spacing w:after="0" w:line="240" w:lineRule="auto"/>
        <w:ind w:left="360"/>
        <w:jc w:val="both"/>
        <w:rPr>
          <w:rFonts w:cstheme="minorHAnsi"/>
          <w:bCs/>
          <w:iCs/>
        </w:rPr>
      </w:pPr>
    </w:p>
    <w:p w:rsidR="006F0957" w:rsidRPr="003A1DF0" w:rsidP="00886CD7">
      <w:pPr>
        <w:numPr>
          <w:ilvl w:val="0"/>
          <w:numId w:val="8"/>
        </w:numPr>
        <w:spacing w:after="0" w:line="240" w:lineRule="auto"/>
        <w:jc w:val="both"/>
        <w:rPr>
          <w:rFonts w:cstheme="minorHAnsi"/>
          <w:b/>
          <w:bCs/>
          <w:iCs/>
        </w:rPr>
      </w:pPr>
      <w:r w:rsidRPr="003A1DF0">
        <w:rPr>
          <w:rFonts w:cstheme="minorHAnsi"/>
          <w:b/>
          <w:bCs/>
          <w:iCs/>
        </w:rPr>
        <w:t>Covid-19</w:t>
      </w:r>
      <w:r>
        <w:rPr>
          <w:rFonts w:cstheme="minorHAnsi"/>
          <w:b/>
          <w:bCs/>
          <w:iCs/>
        </w:rPr>
        <w:t xml:space="preserve"> - underspend of £286k</w:t>
      </w:r>
    </w:p>
    <w:p w:rsidR="00287D06" w:rsidP="00287D06">
      <w:pPr>
        <w:pStyle w:val="ListParagraph"/>
        <w:numPr>
          <w:ilvl w:val="0"/>
          <w:numId w:val="14"/>
        </w:numPr>
        <w:spacing w:after="0" w:line="240" w:lineRule="auto"/>
        <w:jc w:val="both"/>
        <w:rPr>
          <w:rFonts w:cstheme="minorHAnsi"/>
          <w:bCs/>
          <w:iCs/>
        </w:rPr>
      </w:pPr>
      <w:r>
        <w:rPr>
          <w:rFonts w:cstheme="minorHAnsi"/>
          <w:bCs/>
          <w:iCs/>
        </w:rPr>
        <w:t xml:space="preserve">£80k additional income is anticipated from the governments Covid-19 Sales, Fees and </w:t>
      </w:r>
      <w:r>
        <w:rPr>
          <w:rFonts w:cstheme="minorHAnsi"/>
          <w:bCs/>
          <w:iCs/>
        </w:rPr>
        <w:t>Charges Compensation Scheme to offset losses incurred in the first quarter of 2021/22.</w:t>
      </w:r>
    </w:p>
    <w:p w:rsidR="00287D06" w:rsidRPr="008B7664" w:rsidP="00287D06">
      <w:pPr>
        <w:pStyle w:val="ListParagraph"/>
        <w:numPr>
          <w:ilvl w:val="0"/>
          <w:numId w:val="14"/>
        </w:numPr>
        <w:spacing w:after="0" w:line="240" w:lineRule="auto"/>
        <w:jc w:val="both"/>
        <w:rPr>
          <w:rFonts w:cstheme="minorHAnsi"/>
          <w:bCs/>
          <w:iCs/>
        </w:rPr>
      </w:pPr>
      <w:r>
        <w:rPr>
          <w:rFonts w:cstheme="minorHAnsi"/>
          <w:bCs/>
          <w:iCs/>
        </w:rPr>
        <w:t>£206k additional income is anticipated from the Covid-19 Containing Outbreak Management Fund (COMF) to offset against staffing costs across various services.</w:t>
      </w:r>
    </w:p>
    <w:p w:rsidR="006F0957" w:rsidRPr="006F0957" w:rsidP="006F0957">
      <w:pPr>
        <w:spacing w:after="0" w:line="240" w:lineRule="auto"/>
        <w:ind w:left="360"/>
        <w:jc w:val="both"/>
        <w:rPr>
          <w:rFonts w:cstheme="minorHAnsi"/>
          <w:bCs/>
          <w:iCs/>
        </w:rPr>
      </w:pPr>
    </w:p>
    <w:p w:rsidR="00886CD7" w:rsidP="00886CD7">
      <w:pPr>
        <w:numPr>
          <w:ilvl w:val="0"/>
          <w:numId w:val="8"/>
        </w:numPr>
        <w:spacing w:after="0" w:line="240" w:lineRule="auto"/>
        <w:jc w:val="both"/>
        <w:rPr>
          <w:rFonts w:cstheme="minorHAnsi"/>
          <w:bCs/>
          <w:iCs/>
        </w:rPr>
      </w:pPr>
      <w:r w:rsidRPr="00F37E50">
        <w:rPr>
          <w:rFonts w:cstheme="minorHAnsi"/>
          <w:b/>
          <w:bCs/>
          <w:iCs/>
        </w:rPr>
        <w:t xml:space="preserve">Funding </w:t>
      </w:r>
      <w:r>
        <w:rPr>
          <w:rFonts w:cstheme="minorHAnsi"/>
          <w:bCs/>
          <w:iCs/>
        </w:rPr>
        <w:t xml:space="preserve">– </w:t>
      </w:r>
      <w:r>
        <w:rPr>
          <w:rFonts w:cstheme="minorHAnsi"/>
          <w:bCs/>
          <w:iCs/>
        </w:rPr>
        <w:t>No variations in funding are forecasted at this stage.</w:t>
      </w:r>
    </w:p>
    <w:p w:rsidR="00886CD7" w:rsidP="00886CD7">
      <w:pPr>
        <w:spacing w:after="0" w:line="240" w:lineRule="auto"/>
        <w:ind w:left="360"/>
        <w:jc w:val="both"/>
        <w:rPr>
          <w:rFonts w:cstheme="minorHAnsi"/>
          <w:bCs/>
          <w:iCs/>
        </w:rPr>
      </w:pPr>
    </w:p>
    <w:p w:rsidR="00E24AE3" w:rsidRPr="00ED4FF1" w:rsidP="00E24AE3">
      <w:pPr>
        <w:pStyle w:val="Heading2"/>
      </w:pPr>
      <w:r>
        <w:t>Section B: General Fund Resources and Balances</w:t>
      </w:r>
    </w:p>
    <w:p w:rsidR="00B0080D" w:rsidP="00B0080D">
      <w:pPr>
        <w:numPr>
          <w:ilvl w:val="0"/>
          <w:numId w:val="8"/>
        </w:numPr>
        <w:spacing w:after="0" w:line="240" w:lineRule="auto"/>
        <w:jc w:val="both"/>
        <w:rPr>
          <w:rFonts w:cstheme="minorHAnsi"/>
          <w:bCs/>
          <w:iCs/>
        </w:rPr>
      </w:pPr>
      <w:r w:rsidRPr="00B0080D">
        <w:rPr>
          <w:rFonts w:cstheme="minorHAnsi"/>
          <w:bCs/>
          <w:iCs/>
        </w:rPr>
        <w:t xml:space="preserve">With regard to working balances, and as </w:t>
      </w:r>
      <w:r>
        <w:rPr>
          <w:rFonts w:cstheme="minorHAnsi"/>
          <w:bCs/>
          <w:iCs/>
        </w:rPr>
        <w:t xml:space="preserve">detailed in </w:t>
      </w:r>
      <w:r w:rsidRPr="00B83DFF">
        <w:rPr>
          <w:rFonts w:cstheme="minorHAnsi"/>
          <w:b/>
          <w:bCs/>
          <w:iCs/>
        </w:rPr>
        <w:t xml:space="preserve">Appendix </w:t>
      </w:r>
      <w:r>
        <w:rPr>
          <w:rFonts w:cstheme="minorHAnsi"/>
          <w:b/>
          <w:bCs/>
          <w:iCs/>
        </w:rPr>
        <w:t>3</w:t>
      </w:r>
      <w:r w:rsidRPr="00B0080D">
        <w:rPr>
          <w:rFonts w:cstheme="minorHAnsi"/>
          <w:bCs/>
          <w:iCs/>
        </w:rPr>
        <w:t>, the Council holds a £</w:t>
      </w:r>
      <w:r>
        <w:rPr>
          <w:rFonts w:cstheme="minorHAnsi"/>
          <w:bCs/>
          <w:iCs/>
        </w:rPr>
        <w:t>4.1</w:t>
      </w:r>
      <w:r w:rsidRPr="00B0080D">
        <w:rPr>
          <w:rFonts w:cstheme="minorHAnsi"/>
          <w:bCs/>
          <w:iCs/>
        </w:rPr>
        <w:t>m General Fund balance to manage budget risks not covered by earm</w:t>
      </w:r>
      <w:r w:rsidRPr="00B0080D">
        <w:rPr>
          <w:rFonts w:cstheme="minorHAnsi"/>
          <w:bCs/>
          <w:iCs/>
        </w:rPr>
        <w:t xml:space="preserve">arked reserves or provisions. The </w:t>
      </w:r>
      <w:r>
        <w:rPr>
          <w:rFonts w:cstheme="minorHAnsi"/>
          <w:bCs/>
          <w:iCs/>
        </w:rPr>
        <w:t xml:space="preserve">forecast </w:t>
      </w:r>
      <w:r w:rsidRPr="00B0080D">
        <w:rPr>
          <w:rFonts w:cstheme="minorHAnsi"/>
          <w:bCs/>
          <w:iCs/>
        </w:rPr>
        <w:t xml:space="preserve">outturn </w:t>
      </w:r>
      <w:r>
        <w:rPr>
          <w:rFonts w:cstheme="minorHAnsi"/>
          <w:bCs/>
          <w:iCs/>
        </w:rPr>
        <w:t xml:space="preserve">for 2021/22 </w:t>
      </w:r>
      <w:r w:rsidRPr="00B0080D">
        <w:rPr>
          <w:rFonts w:cstheme="minorHAnsi"/>
          <w:bCs/>
          <w:iCs/>
        </w:rPr>
        <w:t xml:space="preserve">shows </w:t>
      </w:r>
      <w:r>
        <w:rPr>
          <w:rFonts w:cstheme="minorHAnsi"/>
          <w:bCs/>
          <w:iCs/>
        </w:rPr>
        <w:t xml:space="preserve">a projected </w:t>
      </w:r>
      <w:r w:rsidRPr="00B0080D">
        <w:rPr>
          <w:rFonts w:cstheme="minorHAnsi"/>
          <w:bCs/>
          <w:iCs/>
        </w:rPr>
        <w:t xml:space="preserve">General Fund closing </w:t>
      </w:r>
      <w:r w:rsidRPr="00A46A93">
        <w:rPr>
          <w:rFonts w:cstheme="minorHAnsi"/>
          <w:bCs/>
          <w:iCs/>
        </w:rPr>
        <w:t>balance of £4.415m as detailed</w:t>
      </w:r>
      <w:r w:rsidRPr="00B0080D">
        <w:rPr>
          <w:rFonts w:cstheme="minorHAnsi"/>
          <w:bCs/>
          <w:iCs/>
        </w:rPr>
        <w:t xml:space="preserve"> below</w:t>
      </w:r>
      <w:r>
        <w:rPr>
          <w:rFonts w:cstheme="minorHAnsi"/>
          <w:bCs/>
          <w:iCs/>
        </w:rPr>
        <w:t>.</w:t>
      </w:r>
    </w:p>
    <w:p w:rsidR="000D5F09" w:rsidP="000D5F09">
      <w:pPr>
        <w:spacing w:after="0" w:line="240" w:lineRule="auto"/>
        <w:ind w:left="360"/>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1701"/>
      </w:tblGrid>
      <w:tr w:rsidTr="00064238">
        <w:tblPrEx>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6124" w:type="dxa"/>
            <w:shd w:val="clear" w:color="auto" w:fill="BFBFBF"/>
            <w:vAlign w:val="center"/>
          </w:tcPr>
          <w:p w:rsidR="00837C0A" w:rsidRPr="005A06FF" w:rsidP="00837C0A">
            <w:pPr>
              <w:spacing w:after="0" w:line="240" w:lineRule="auto"/>
              <w:rPr>
                <w:b/>
                <w:bCs/>
                <w:szCs w:val="18"/>
              </w:rPr>
            </w:pPr>
            <w:r>
              <w:rPr>
                <w:b/>
                <w:bCs/>
                <w:szCs w:val="18"/>
              </w:rPr>
              <w:t>Summary of Movement in General Reserves</w:t>
            </w:r>
          </w:p>
        </w:tc>
        <w:tc>
          <w:tcPr>
            <w:tcW w:w="1701" w:type="dxa"/>
            <w:shd w:val="clear" w:color="auto" w:fill="BFBFBF"/>
            <w:vAlign w:val="center"/>
          </w:tcPr>
          <w:p w:rsidR="00837C0A" w:rsidRPr="005A06FF" w:rsidP="00837C0A">
            <w:pPr>
              <w:spacing w:after="0" w:line="240" w:lineRule="auto"/>
              <w:jc w:val="center"/>
              <w:rPr>
                <w:b/>
                <w:bCs/>
                <w:szCs w:val="18"/>
              </w:rPr>
            </w:pPr>
            <w:r w:rsidRPr="005A06FF">
              <w:rPr>
                <w:b/>
                <w:bCs/>
                <w:szCs w:val="18"/>
              </w:rPr>
              <w:t>£m</w:t>
            </w:r>
          </w:p>
        </w:tc>
      </w:tr>
      <w:tr w:rsidTr="00064238">
        <w:tblPrEx>
          <w:tblW w:w="0" w:type="auto"/>
          <w:tblInd w:w="675" w:type="dxa"/>
          <w:tblLook w:val="04A0"/>
        </w:tblPrEx>
        <w:trPr>
          <w:trHeight w:val="340"/>
        </w:trPr>
        <w:tc>
          <w:tcPr>
            <w:tcW w:w="6124" w:type="dxa"/>
            <w:vAlign w:val="center"/>
          </w:tcPr>
          <w:p w:rsidR="00837C0A" w:rsidRPr="005A06FF" w:rsidP="00837C0A">
            <w:pPr>
              <w:spacing w:after="0" w:line="240" w:lineRule="auto"/>
              <w:rPr>
                <w:szCs w:val="18"/>
              </w:rPr>
            </w:pPr>
            <w:r>
              <w:rPr>
                <w:szCs w:val="18"/>
              </w:rPr>
              <w:t>General Fund Reserves as at 1</w:t>
            </w:r>
            <w:r w:rsidRPr="00B83DFF">
              <w:rPr>
                <w:szCs w:val="18"/>
                <w:vertAlign w:val="superscript"/>
              </w:rPr>
              <w:t>st</w:t>
            </w:r>
            <w:r>
              <w:rPr>
                <w:szCs w:val="18"/>
              </w:rPr>
              <w:t xml:space="preserve"> April 2021</w:t>
            </w:r>
          </w:p>
        </w:tc>
        <w:tc>
          <w:tcPr>
            <w:tcW w:w="1701" w:type="dxa"/>
            <w:vAlign w:val="center"/>
          </w:tcPr>
          <w:p w:rsidR="00837C0A" w:rsidRPr="005A06FF" w:rsidP="00837C0A">
            <w:pPr>
              <w:spacing w:after="0" w:line="240" w:lineRule="auto"/>
              <w:jc w:val="right"/>
              <w:rPr>
                <w:szCs w:val="18"/>
              </w:rPr>
            </w:pPr>
            <w:r>
              <w:rPr>
                <w:szCs w:val="18"/>
              </w:rPr>
              <w:t>(4.141)</w:t>
            </w:r>
          </w:p>
        </w:tc>
      </w:tr>
      <w:tr w:rsidTr="00064238">
        <w:tblPrEx>
          <w:tblW w:w="0" w:type="auto"/>
          <w:tblInd w:w="675" w:type="dxa"/>
          <w:tblLook w:val="04A0"/>
        </w:tblPrEx>
        <w:trPr>
          <w:trHeight w:val="340"/>
        </w:trPr>
        <w:tc>
          <w:tcPr>
            <w:tcW w:w="6124" w:type="dxa"/>
            <w:tcBorders>
              <w:bottom w:val="single" w:sz="4" w:space="0" w:color="auto"/>
            </w:tcBorders>
            <w:vAlign w:val="center"/>
          </w:tcPr>
          <w:p w:rsidR="00837C0A" w:rsidRPr="005A06FF" w:rsidP="00837C0A">
            <w:pPr>
              <w:spacing w:after="0" w:line="240" w:lineRule="auto"/>
              <w:rPr>
                <w:szCs w:val="18"/>
              </w:rPr>
            </w:pPr>
            <w:r>
              <w:rPr>
                <w:szCs w:val="18"/>
              </w:rPr>
              <w:t xml:space="preserve">Forecast </w:t>
            </w:r>
            <w:r>
              <w:rPr>
                <w:szCs w:val="18"/>
              </w:rPr>
              <w:t>revenue budget (surplus) / deficit</w:t>
            </w:r>
          </w:p>
        </w:tc>
        <w:tc>
          <w:tcPr>
            <w:tcW w:w="1701" w:type="dxa"/>
            <w:tcBorders>
              <w:bottom w:val="single" w:sz="4" w:space="0" w:color="auto"/>
            </w:tcBorders>
            <w:vAlign w:val="center"/>
          </w:tcPr>
          <w:p w:rsidR="00837C0A" w:rsidRPr="00A46A93" w:rsidP="00837C0A">
            <w:pPr>
              <w:spacing w:after="0" w:line="240" w:lineRule="auto"/>
              <w:jc w:val="right"/>
              <w:rPr>
                <w:szCs w:val="18"/>
              </w:rPr>
            </w:pPr>
            <w:r>
              <w:rPr>
                <w:szCs w:val="18"/>
              </w:rPr>
              <w:t>(</w:t>
            </w:r>
            <w:r w:rsidRPr="00A46A93">
              <w:rPr>
                <w:szCs w:val="18"/>
              </w:rPr>
              <w:t>0.274</w:t>
            </w:r>
            <w:r>
              <w:rPr>
                <w:szCs w:val="18"/>
              </w:rPr>
              <w:t>)</w:t>
            </w:r>
          </w:p>
        </w:tc>
      </w:tr>
      <w:tr w:rsidTr="00064238">
        <w:tblPrEx>
          <w:tblW w:w="0" w:type="auto"/>
          <w:tblInd w:w="675" w:type="dxa"/>
          <w:tblLook w:val="04A0"/>
        </w:tblPrEx>
        <w:trPr>
          <w:trHeight w:val="340"/>
        </w:trPr>
        <w:tc>
          <w:tcPr>
            <w:tcW w:w="6124" w:type="dxa"/>
            <w:tcBorders>
              <w:bottom w:val="single" w:sz="4" w:space="0" w:color="auto"/>
            </w:tcBorders>
            <w:shd w:val="clear" w:color="auto" w:fill="BFBFBF"/>
            <w:vAlign w:val="center"/>
          </w:tcPr>
          <w:p w:rsidR="00837C0A" w:rsidRPr="005A06FF" w:rsidP="00837C0A">
            <w:pPr>
              <w:spacing w:after="0" w:line="240" w:lineRule="auto"/>
              <w:rPr>
                <w:b/>
                <w:bCs/>
                <w:szCs w:val="18"/>
              </w:rPr>
            </w:pPr>
            <w:r>
              <w:rPr>
                <w:b/>
                <w:bCs/>
                <w:szCs w:val="18"/>
              </w:rPr>
              <w:t>Forecast General Reserve</w:t>
            </w:r>
            <w:r w:rsidRPr="005A06FF">
              <w:rPr>
                <w:b/>
                <w:bCs/>
                <w:szCs w:val="18"/>
              </w:rPr>
              <w:t xml:space="preserve"> Closing Balance 202</w:t>
            </w:r>
            <w:r>
              <w:rPr>
                <w:b/>
                <w:bCs/>
                <w:szCs w:val="18"/>
              </w:rPr>
              <w:t>1</w:t>
            </w:r>
            <w:r w:rsidRPr="005A06FF">
              <w:rPr>
                <w:b/>
                <w:bCs/>
                <w:szCs w:val="18"/>
              </w:rPr>
              <w:t>/2</w:t>
            </w:r>
            <w:r>
              <w:rPr>
                <w:b/>
                <w:bCs/>
                <w:szCs w:val="18"/>
              </w:rPr>
              <w:t>2</w:t>
            </w:r>
          </w:p>
        </w:tc>
        <w:tc>
          <w:tcPr>
            <w:tcW w:w="1701" w:type="dxa"/>
            <w:tcBorders>
              <w:bottom w:val="single" w:sz="4" w:space="0" w:color="auto"/>
            </w:tcBorders>
            <w:shd w:val="clear" w:color="auto" w:fill="BFBFBF"/>
            <w:vAlign w:val="center"/>
          </w:tcPr>
          <w:p w:rsidR="00837C0A" w:rsidRPr="00A46A93" w:rsidP="00837C0A">
            <w:pPr>
              <w:spacing w:after="0" w:line="240" w:lineRule="auto"/>
              <w:jc w:val="right"/>
              <w:rPr>
                <w:b/>
                <w:bCs/>
                <w:szCs w:val="18"/>
              </w:rPr>
            </w:pPr>
            <w:r w:rsidRPr="00A46A93">
              <w:rPr>
                <w:b/>
                <w:bCs/>
                <w:szCs w:val="18"/>
              </w:rPr>
              <w:t>(4.415)</w:t>
            </w:r>
          </w:p>
        </w:tc>
      </w:tr>
    </w:tbl>
    <w:p w:rsidR="000D5F09" w:rsidP="00506414">
      <w:pPr>
        <w:spacing w:after="0" w:line="240" w:lineRule="auto"/>
        <w:jc w:val="both"/>
        <w:rPr>
          <w:rFonts w:cstheme="minorHAnsi"/>
          <w:bCs/>
          <w:iCs/>
        </w:rPr>
      </w:pPr>
    </w:p>
    <w:p w:rsidR="00506414" w:rsidRPr="000D5F09" w:rsidP="00506414">
      <w:pPr>
        <w:spacing w:after="0" w:line="240" w:lineRule="auto"/>
        <w:jc w:val="both"/>
        <w:rPr>
          <w:rFonts w:cstheme="minorHAnsi"/>
          <w:bCs/>
          <w:iCs/>
        </w:rPr>
      </w:pPr>
    </w:p>
    <w:p w:rsidR="00837C0A" w:rsidP="00B0080D">
      <w:pPr>
        <w:numPr>
          <w:ilvl w:val="0"/>
          <w:numId w:val="8"/>
        </w:numPr>
        <w:spacing w:after="0" w:line="240" w:lineRule="auto"/>
        <w:jc w:val="both"/>
        <w:rPr>
          <w:rFonts w:cstheme="minorHAnsi"/>
          <w:bCs/>
          <w:iCs/>
        </w:rPr>
      </w:pPr>
      <w:r w:rsidRPr="00B83DFF">
        <w:rPr>
          <w:rFonts w:cstheme="minorHAnsi"/>
          <w:b/>
          <w:bCs/>
          <w:iCs/>
        </w:rPr>
        <w:t>Appendix 3</w:t>
      </w:r>
      <w:r w:rsidRPr="00837C0A">
        <w:rPr>
          <w:rFonts w:cstheme="minorHAnsi"/>
          <w:bCs/>
          <w:iCs/>
        </w:rPr>
        <w:t xml:space="preserve"> provides further information about the specific earmarked reserves and provisions available </w:t>
      </w:r>
      <w:r>
        <w:rPr>
          <w:rFonts w:cstheme="minorHAnsi"/>
          <w:bCs/>
          <w:iCs/>
        </w:rPr>
        <w:t xml:space="preserve">for </w:t>
      </w:r>
      <w:r w:rsidRPr="00837C0A">
        <w:rPr>
          <w:rFonts w:cstheme="minorHAnsi"/>
          <w:bCs/>
          <w:iCs/>
        </w:rPr>
        <w:t>use throughout 202</w:t>
      </w:r>
      <w:r>
        <w:rPr>
          <w:rFonts w:cstheme="minorHAnsi"/>
          <w:bCs/>
          <w:iCs/>
        </w:rPr>
        <w:t>1</w:t>
      </w:r>
      <w:r w:rsidRPr="00837C0A">
        <w:rPr>
          <w:rFonts w:cstheme="minorHAnsi"/>
          <w:bCs/>
          <w:iCs/>
        </w:rPr>
        <w:t>/2</w:t>
      </w:r>
      <w:r>
        <w:rPr>
          <w:rFonts w:cstheme="minorHAnsi"/>
          <w:bCs/>
          <w:iCs/>
        </w:rPr>
        <w:t>2.</w:t>
      </w:r>
    </w:p>
    <w:p w:rsidR="00B83DFF" w:rsidRPr="00B83DFF" w:rsidP="00B83DFF">
      <w:pPr>
        <w:spacing w:after="0" w:line="240" w:lineRule="auto"/>
        <w:ind w:left="360"/>
        <w:jc w:val="both"/>
        <w:rPr>
          <w:rFonts w:cstheme="minorHAnsi"/>
          <w:bCs/>
          <w:iCs/>
        </w:rPr>
      </w:pPr>
    </w:p>
    <w:p w:rsidR="00B83DFF" w:rsidP="00B0080D">
      <w:pPr>
        <w:numPr>
          <w:ilvl w:val="0"/>
          <w:numId w:val="8"/>
        </w:numPr>
        <w:spacing w:after="0" w:line="240" w:lineRule="auto"/>
        <w:jc w:val="both"/>
        <w:rPr>
          <w:rFonts w:cstheme="minorHAnsi"/>
          <w:bCs/>
          <w:iCs/>
        </w:rPr>
      </w:pPr>
      <w:r>
        <w:rPr>
          <w:rFonts w:cstheme="minorHAnsi"/>
          <w:bCs/>
          <w:iCs/>
        </w:rPr>
        <w:t xml:space="preserve">Taking account of the adjustments highlighted in </w:t>
      </w:r>
      <w:r w:rsidRPr="00B924B8">
        <w:rPr>
          <w:rFonts w:cstheme="minorHAnsi"/>
          <w:b/>
          <w:bCs/>
          <w:iCs/>
        </w:rPr>
        <w:t>Appendix 3</w:t>
      </w:r>
      <w:r>
        <w:rPr>
          <w:rFonts w:cstheme="minorHAnsi"/>
          <w:bCs/>
          <w:iCs/>
        </w:rPr>
        <w:t xml:space="preserve">, the forecasted level of </w:t>
      </w:r>
      <w:r w:rsidRPr="00C64770">
        <w:rPr>
          <w:rFonts w:cstheme="minorHAnsi"/>
          <w:bCs/>
          <w:iCs/>
        </w:rPr>
        <w:t xml:space="preserve">Earmarked reserves held for </w:t>
      </w:r>
      <w:r w:rsidRPr="00C64770">
        <w:rPr>
          <w:rFonts w:cstheme="minorHAnsi"/>
          <w:bCs/>
          <w:iCs/>
        </w:rPr>
        <w:t>discretionary use by the Council at 31</w:t>
      </w:r>
      <w:r w:rsidRPr="00C64770">
        <w:rPr>
          <w:rFonts w:cstheme="minorHAnsi"/>
          <w:bCs/>
          <w:iCs/>
          <w:vertAlign w:val="superscript"/>
        </w:rPr>
        <w:t>st</w:t>
      </w:r>
      <w:r w:rsidRPr="00C64770">
        <w:rPr>
          <w:rFonts w:cstheme="minorHAnsi"/>
          <w:bCs/>
          <w:iCs/>
        </w:rPr>
        <w:t xml:space="preserve"> March 2022 is £11.797m co</w:t>
      </w:r>
      <w:r>
        <w:rPr>
          <w:rFonts w:cstheme="minorHAnsi"/>
          <w:bCs/>
          <w:iCs/>
        </w:rPr>
        <w:t xml:space="preserve">mpared to a balance </w:t>
      </w:r>
      <w:r w:rsidRPr="00931EAF">
        <w:rPr>
          <w:rFonts w:cstheme="minorHAnsi"/>
          <w:bCs/>
          <w:iCs/>
        </w:rPr>
        <w:t>of £</w:t>
      </w:r>
      <w:r>
        <w:rPr>
          <w:rFonts w:cstheme="minorHAnsi"/>
          <w:bCs/>
          <w:iCs/>
        </w:rPr>
        <w:t>23.007</w:t>
      </w:r>
      <w:r w:rsidRPr="00931EAF">
        <w:rPr>
          <w:rFonts w:cstheme="minorHAnsi"/>
          <w:bCs/>
          <w:iCs/>
        </w:rPr>
        <w:t>m at</w:t>
      </w:r>
      <w:r>
        <w:rPr>
          <w:rFonts w:cstheme="minorHAnsi"/>
          <w:bCs/>
          <w:iCs/>
        </w:rPr>
        <w:t xml:space="preserve"> 31</w:t>
      </w:r>
      <w:r w:rsidRPr="00B924B8">
        <w:rPr>
          <w:rFonts w:cstheme="minorHAnsi"/>
          <w:bCs/>
          <w:iCs/>
          <w:vertAlign w:val="superscript"/>
        </w:rPr>
        <w:t>st</w:t>
      </w:r>
      <w:r>
        <w:rPr>
          <w:rFonts w:cstheme="minorHAnsi"/>
          <w:bCs/>
          <w:iCs/>
        </w:rPr>
        <w:t xml:space="preserve"> March 2021.</w:t>
      </w:r>
    </w:p>
    <w:p w:rsidR="007815C3" w:rsidP="00E24AE3">
      <w:pPr>
        <w:spacing w:after="0" w:line="240" w:lineRule="auto"/>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1701"/>
      </w:tblGrid>
      <w:tr w:rsidTr="00064238">
        <w:tblPrEx>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6124" w:type="dxa"/>
            <w:shd w:val="clear" w:color="auto" w:fill="BFBFBF"/>
            <w:vAlign w:val="center"/>
          </w:tcPr>
          <w:p w:rsidR="00B924B8" w:rsidRPr="005A06FF" w:rsidP="00341259">
            <w:pPr>
              <w:spacing w:after="0" w:line="240" w:lineRule="auto"/>
              <w:rPr>
                <w:b/>
                <w:bCs/>
                <w:szCs w:val="18"/>
              </w:rPr>
            </w:pPr>
            <w:r>
              <w:rPr>
                <w:b/>
                <w:bCs/>
                <w:szCs w:val="18"/>
              </w:rPr>
              <w:t>Summary of Movement in Earmarked Reserves</w:t>
            </w:r>
          </w:p>
        </w:tc>
        <w:tc>
          <w:tcPr>
            <w:tcW w:w="1701" w:type="dxa"/>
            <w:shd w:val="clear" w:color="auto" w:fill="BFBFBF"/>
            <w:vAlign w:val="center"/>
          </w:tcPr>
          <w:p w:rsidR="00B924B8" w:rsidRPr="005A06FF" w:rsidP="00341259">
            <w:pPr>
              <w:spacing w:after="0" w:line="240" w:lineRule="auto"/>
              <w:jc w:val="center"/>
              <w:rPr>
                <w:b/>
                <w:bCs/>
                <w:szCs w:val="18"/>
              </w:rPr>
            </w:pPr>
            <w:r w:rsidRPr="005A06FF">
              <w:rPr>
                <w:b/>
                <w:bCs/>
                <w:szCs w:val="18"/>
              </w:rPr>
              <w:t>£m</w:t>
            </w:r>
          </w:p>
        </w:tc>
      </w:tr>
      <w:tr w:rsidTr="00064238">
        <w:tblPrEx>
          <w:tblW w:w="0" w:type="auto"/>
          <w:tblInd w:w="675" w:type="dxa"/>
          <w:tblLook w:val="04A0"/>
        </w:tblPrEx>
        <w:trPr>
          <w:trHeight w:val="340"/>
        </w:trPr>
        <w:tc>
          <w:tcPr>
            <w:tcW w:w="6124" w:type="dxa"/>
            <w:vAlign w:val="center"/>
          </w:tcPr>
          <w:p w:rsidR="00B924B8" w:rsidRPr="005A06FF" w:rsidP="00341259">
            <w:pPr>
              <w:spacing w:after="0" w:line="240" w:lineRule="auto"/>
              <w:rPr>
                <w:szCs w:val="18"/>
              </w:rPr>
            </w:pPr>
            <w:r>
              <w:rPr>
                <w:szCs w:val="18"/>
              </w:rPr>
              <w:t>Earmarked Reserves as at 1</w:t>
            </w:r>
            <w:r w:rsidRPr="00B83DFF">
              <w:rPr>
                <w:szCs w:val="18"/>
                <w:vertAlign w:val="superscript"/>
              </w:rPr>
              <w:t>st</w:t>
            </w:r>
            <w:r>
              <w:rPr>
                <w:szCs w:val="18"/>
              </w:rPr>
              <w:t xml:space="preserve"> April 2021</w:t>
            </w:r>
          </w:p>
        </w:tc>
        <w:tc>
          <w:tcPr>
            <w:tcW w:w="1701" w:type="dxa"/>
            <w:vAlign w:val="center"/>
          </w:tcPr>
          <w:p w:rsidR="00B924B8" w:rsidRPr="00931EAF" w:rsidP="00341259">
            <w:pPr>
              <w:spacing w:after="0" w:line="240" w:lineRule="auto"/>
              <w:jc w:val="right"/>
              <w:rPr>
                <w:szCs w:val="18"/>
              </w:rPr>
            </w:pPr>
            <w:r>
              <w:rPr>
                <w:szCs w:val="18"/>
              </w:rPr>
              <w:t>(</w:t>
            </w:r>
            <w:r w:rsidRPr="00931EAF">
              <w:rPr>
                <w:szCs w:val="18"/>
              </w:rPr>
              <w:t>23.007</w:t>
            </w:r>
            <w:r>
              <w:rPr>
                <w:szCs w:val="18"/>
              </w:rPr>
              <w:t>)</w:t>
            </w:r>
          </w:p>
        </w:tc>
      </w:tr>
      <w:tr w:rsidTr="00064238">
        <w:tblPrEx>
          <w:tblW w:w="0" w:type="auto"/>
          <w:tblInd w:w="675" w:type="dxa"/>
          <w:tblLook w:val="04A0"/>
        </w:tblPrEx>
        <w:trPr>
          <w:trHeight w:val="340"/>
        </w:trPr>
        <w:tc>
          <w:tcPr>
            <w:tcW w:w="6124" w:type="dxa"/>
            <w:vAlign w:val="center"/>
          </w:tcPr>
          <w:p w:rsidR="00EB725A" w:rsidP="00341259">
            <w:pPr>
              <w:spacing w:after="0" w:line="240" w:lineRule="auto"/>
              <w:rPr>
                <w:szCs w:val="18"/>
              </w:rPr>
            </w:pPr>
            <w:r>
              <w:rPr>
                <w:szCs w:val="18"/>
              </w:rPr>
              <w:t xml:space="preserve">Use of revenue reserves for </w:t>
            </w:r>
            <w:r>
              <w:rPr>
                <w:szCs w:val="18"/>
              </w:rPr>
              <w:t>capital financing</w:t>
            </w:r>
          </w:p>
        </w:tc>
        <w:tc>
          <w:tcPr>
            <w:tcW w:w="1701" w:type="dxa"/>
            <w:vAlign w:val="center"/>
          </w:tcPr>
          <w:p w:rsidR="00EB725A" w:rsidP="00341259">
            <w:pPr>
              <w:spacing w:after="0" w:line="240" w:lineRule="auto"/>
              <w:jc w:val="right"/>
              <w:rPr>
                <w:szCs w:val="18"/>
              </w:rPr>
            </w:pPr>
            <w:r>
              <w:rPr>
                <w:szCs w:val="18"/>
              </w:rPr>
              <w:t>4.672</w:t>
            </w:r>
          </w:p>
        </w:tc>
      </w:tr>
      <w:tr w:rsidTr="00064238">
        <w:tblPrEx>
          <w:tblW w:w="0" w:type="auto"/>
          <w:tblInd w:w="675" w:type="dxa"/>
          <w:tblLook w:val="04A0"/>
        </w:tblPrEx>
        <w:trPr>
          <w:trHeight w:val="340"/>
        </w:trPr>
        <w:tc>
          <w:tcPr>
            <w:tcW w:w="6124" w:type="dxa"/>
            <w:vAlign w:val="center"/>
          </w:tcPr>
          <w:p w:rsidR="00EB725A" w:rsidP="00341259">
            <w:pPr>
              <w:spacing w:after="0" w:line="240" w:lineRule="auto"/>
              <w:rPr>
                <w:szCs w:val="18"/>
              </w:rPr>
            </w:pPr>
            <w:r>
              <w:rPr>
                <w:szCs w:val="18"/>
              </w:rPr>
              <w:t>Release of S31 grant received in 2020/21 (and held in reserves) in respect of Business Rates reliefs stipulated by the government during – this offsets the resulting deficit brought forward on the Collection Fund</w:t>
            </w:r>
          </w:p>
        </w:tc>
        <w:tc>
          <w:tcPr>
            <w:tcW w:w="1701" w:type="dxa"/>
            <w:vAlign w:val="center"/>
          </w:tcPr>
          <w:p w:rsidR="00EB725A" w:rsidP="00341259">
            <w:pPr>
              <w:spacing w:after="0" w:line="240" w:lineRule="auto"/>
              <w:jc w:val="right"/>
              <w:rPr>
                <w:szCs w:val="18"/>
              </w:rPr>
            </w:pPr>
            <w:r>
              <w:rPr>
                <w:szCs w:val="18"/>
              </w:rPr>
              <w:t>4.890</w:t>
            </w:r>
          </w:p>
        </w:tc>
      </w:tr>
      <w:tr w:rsidTr="00064238">
        <w:tblPrEx>
          <w:tblW w:w="0" w:type="auto"/>
          <w:tblInd w:w="675" w:type="dxa"/>
          <w:tblLook w:val="04A0"/>
        </w:tblPrEx>
        <w:trPr>
          <w:trHeight w:val="340"/>
        </w:trPr>
        <w:tc>
          <w:tcPr>
            <w:tcW w:w="6124" w:type="dxa"/>
            <w:tcBorders>
              <w:bottom w:val="single" w:sz="4" w:space="0" w:color="auto"/>
            </w:tcBorders>
            <w:vAlign w:val="center"/>
          </w:tcPr>
          <w:p w:rsidR="00B924B8" w:rsidRPr="002024AE" w:rsidP="00341259">
            <w:pPr>
              <w:spacing w:after="0" w:line="240" w:lineRule="auto"/>
              <w:rPr>
                <w:szCs w:val="18"/>
              </w:rPr>
            </w:pPr>
            <w:r w:rsidRPr="002024AE">
              <w:rPr>
                <w:szCs w:val="18"/>
              </w:rPr>
              <w:t>Forecast us</w:t>
            </w:r>
            <w:r w:rsidRPr="002024AE">
              <w:rPr>
                <w:szCs w:val="18"/>
              </w:rPr>
              <w:t>e of other earmarked reserves</w:t>
            </w:r>
          </w:p>
        </w:tc>
        <w:tc>
          <w:tcPr>
            <w:tcW w:w="1701" w:type="dxa"/>
            <w:tcBorders>
              <w:bottom w:val="single" w:sz="4" w:space="0" w:color="auto"/>
            </w:tcBorders>
            <w:vAlign w:val="center"/>
          </w:tcPr>
          <w:p w:rsidR="00B924B8" w:rsidRPr="002024AE" w:rsidP="00341259">
            <w:pPr>
              <w:spacing w:after="0" w:line="240" w:lineRule="auto"/>
              <w:jc w:val="right"/>
              <w:rPr>
                <w:szCs w:val="18"/>
              </w:rPr>
            </w:pPr>
            <w:r w:rsidRPr="002024AE">
              <w:rPr>
                <w:szCs w:val="18"/>
              </w:rPr>
              <w:t>1.</w:t>
            </w:r>
            <w:r>
              <w:rPr>
                <w:szCs w:val="18"/>
              </w:rPr>
              <w:t>648</w:t>
            </w:r>
          </w:p>
        </w:tc>
      </w:tr>
      <w:tr w:rsidTr="00064238">
        <w:tblPrEx>
          <w:tblW w:w="0" w:type="auto"/>
          <w:tblInd w:w="675" w:type="dxa"/>
          <w:tblLook w:val="04A0"/>
        </w:tblPrEx>
        <w:trPr>
          <w:trHeight w:val="340"/>
        </w:trPr>
        <w:tc>
          <w:tcPr>
            <w:tcW w:w="6124" w:type="dxa"/>
            <w:tcBorders>
              <w:bottom w:val="single" w:sz="4" w:space="0" w:color="auto"/>
            </w:tcBorders>
            <w:shd w:val="clear" w:color="auto" w:fill="BFBFBF"/>
            <w:vAlign w:val="center"/>
          </w:tcPr>
          <w:p w:rsidR="00B924B8" w:rsidRPr="005A06FF" w:rsidP="00341259">
            <w:pPr>
              <w:spacing w:after="0" w:line="240" w:lineRule="auto"/>
              <w:rPr>
                <w:b/>
                <w:bCs/>
                <w:szCs w:val="18"/>
              </w:rPr>
            </w:pPr>
            <w:r>
              <w:rPr>
                <w:b/>
                <w:bCs/>
                <w:szCs w:val="18"/>
              </w:rPr>
              <w:t>Forecast Earmarked Reserves</w:t>
            </w:r>
            <w:r w:rsidRPr="005A06FF">
              <w:rPr>
                <w:b/>
                <w:bCs/>
                <w:szCs w:val="18"/>
              </w:rPr>
              <w:t xml:space="preserve"> Closing Balance 202</w:t>
            </w:r>
            <w:r>
              <w:rPr>
                <w:b/>
                <w:bCs/>
                <w:szCs w:val="18"/>
              </w:rPr>
              <w:t>1</w:t>
            </w:r>
            <w:r w:rsidRPr="005A06FF">
              <w:rPr>
                <w:b/>
                <w:bCs/>
                <w:szCs w:val="18"/>
              </w:rPr>
              <w:t>/2</w:t>
            </w:r>
            <w:r>
              <w:rPr>
                <w:b/>
                <w:bCs/>
                <w:szCs w:val="18"/>
              </w:rPr>
              <w:t>2</w:t>
            </w:r>
          </w:p>
        </w:tc>
        <w:tc>
          <w:tcPr>
            <w:tcW w:w="1701" w:type="dxa"/>
            <w:tcBorders>
              <w:bottom w:val="single" w:sz="4" w:space="0" w:color="auto"/>
            </w:tcBorders>
            <w:shd w:val="clear" w:color="auto" w:fill="BFBFBF"/>
            <w:vAlign w:val="center"/>
          </w:tcPr>
          <w:p w:rsidR="00B924B8" w:rsidRPr="00837C0A" w:rsidP="00341259">
            <w:pPr>
              <w:spacing w:after="0" w:line="240" w:lineRule="auto"/>
              <w:jc w:val="right"/>
              <w:rPr>
                <w:b/>
                <w:bCs/>
                <w:szCs w:val="18"/>
                <w:highlight w:val="magenta"/>
              </w:rPr>
            </w:pPr>
            <w:r w:rsidRPr="00931EAF">
              <w:rPr>
                <w:b/>
                <w:bCs/>
                <w:szCs w:val="18"/>
              </w:rPr>
              <w:t>(</w:t>
            </w:r>
            <w:r>
              <w:rPr>
                <w:b/>
                <w:bCs/>
                <w:szCs w:val="18"/>
              </w:rPr>
              <w:t>11</w:t>
            </w:r>
            <w:r w:rsidRPr="00931EAF">
              <w:rPr>
                <w:b/>
                <w:bCs/>
                <w:szCs w:val="18"/>
              </w:rPr>
              <w:t>.</w:t>
            </w:r>
            <w:r>
              <w:rPr>
                <w:b/>
                <w:bCs/>
                <w:szCs w:val="18"/>
              </w:rPr>
              <w:t>797</w:t>
            </w:r>
            <w:r w:rsidRPr="00931EAF">
              <w:rPr>
                <w:b/>
                <w:bCs/>
                <w:szCs w:val="18"/>
              </w:rPr>
              <w:t>)</w:t>
            </w:r>
          </w:p>
        </w:tc>
      </w:tr>
    </w:tbl>
    <w:p w:rsidR="00E24AE3" w:rsidP="00E24AE3">
      <w:pPr>
        <w:spacing w:after="0" w:line="240" w:lineRule="auto"/>
        <w:jc w:val="both"/>
        <w:rPr>
          <w:rFonts w:cstheme="minorHAnsi"/>
          <w:bCs/>
          <w:iCs/>
        </w:rPr>
      </w:pPr>
    </w:p>
    <w:p w:rsidR="0071652D" w:rsidP="00E24AE3">
      <w:pPr>
        <w:spacing w:after="0" w:line="240" w:lineRule="auto"/>
        <w:jc w:val="both"/>
        <w:rPr>
          <w:rFonts w:cstheme="minorHAnsi"/>
          <w:bCs/>
          <w:iCs/>
        </w:rPr>
      </w:pPr>
    </w:p>
    <w:p w:rsidR="002024AE" w:rsidP="0071652D">
      <w:pPr>
        <w:numPr>
          <w:ilvl w:val="0"/>
          <w:numId w:val="8"/>
        </w:numPr>
        <w:spacing w:after="0" w:line="240" w:lineRule="auto"/>
        <w:jc w:val="both"/>
        <w:rPr>
          <w:rFonts w:cstheme="minorHAnsi"/>
          <w:bCs/>
          <w:iCs/>
        </w:rPr>
      </w:pPr>
      <w:r>
        <w:rPr>
          <w:rFonts w:cstheme="minorHAnsi"/>
          <w:bCs/>
          <w:iCs/>
        </w:rPr>
        <w:t>Amounts within the forecast use of ‘other earmarked reserves’ include;</w:t>
      </w:r>
    </w:p>
    <w:p w:rsidR="0071652D" w:rsidRPr="00196967" w:rsidP="002024AE">
      <w:pPr>
        <w:pStyle w:val="ListParagraph"/>
        <w:numPr>
          <w:ilvl w:val="0"/>
          <w:numId w:val="16"/>
        </w:numPr>
        <w:spacing w:after="0" w:line="240" w:lineRule="auto"/>
        <w:jc w:val="both"/>
        <w:rPr>
          <w:rFonts w:cstheme="minorHAnsi"/>
          <w:bCs/>
          <w:iCs/>
        </w:rPr>
      </w:pPr>
      <w:r w:rsidRPr="002024AE">
        <w:rPr>
          <w:rFonts w:cstheme="minorHAnsi"/>
          <w:bCs/>
          <w:iCs/>
        </w:rPr>
        <w:t>£306k from the leisure reserve</w:t>
      </w:r>
      <w:r>
        <w:rPr>
          <w:rFonts w:cstheme="minorHAnsi"/>
          <w:bCs/>
          <w:iCs/>
        </w:rPr>
        <w:t xml:space="preserve"> i</w:t>
      </w:r>
      <w:r w:rsidRPr="002024AE">
        <w:rPr>
          <w:rFonts w:cstheme="minorHAnsi"/>
          <w:bCs/>
          <w:iCs/>
        </w:rPr>
        <w:t xml:space="preserve">n relation to one-off costs involved in </w:t>
      </w:r>
      <w:r w:rsidRPr="002024AE">
        <w:rPr>
          <w:rFonts w:cstheme="minorHAnsi"/>
          <w:bCs/>
          <w:iCs/>
        </w:rPr>
        <w:t>bringing leisure services</w:t>
      </w:r>
      <w:r>
        <w:rPr>
          <w:rFonts w:cstheme="minorHAnsi"/>
          <w:bCs/>
          <w:iCs/>
        </w:rPr>
        <w:t xml:space="preserve"> in-house from 1</w:t>
      </w:r>
      <w:r w:rsidRPr="002024AE">
        <w:rPr>
          <w:rFonts w:cstheme="minorHAnsi"/>
          <w:bCs/>
          <w:iCs/>
          <w:vertAlign w:val="superscript"/>
        </w:rPr>
        <w:t>st</w:t>
      </w:r>
      <w:r>
        <w:rPr>
          <w:rFonts w:cstheme="minorHAnsi"/>
          <w:bCs/>
          <w:iCs/>
        </w:rPr>
        <w:t xml:space="preserve"> April 2021 and transferring to a local authority trading </w:t>
      </w:r>
      <w:r w:rsidRPr="00196967">
        <w:rPr>
          <w:rFonts w:cstheme="minorHAnsi"/>
          <w:bCs/>
          <w:iCs/>
        </w:rPr>
        <w:t xml:space="preserve">company </w:t>
      </w:r>
    </w:p>
    <w:p w:rsidR="00F029B7" w:rsidRPr="00196967" w:rsidP="002024AE">
      <w:pPr>
        <w:pStyle w:val="ListParagraph"/>
        <w:numPr>
          <w:ilvl w:val="0"/>
          <w:numId w:val="16"/>
        </w:numPr>
        <w:spacing w:after="0" w:line="240" w:lineRule="auto"/>
        <w:jc w:val="both"/>
        <w:rPr>
          <w:rFonts w:cstheme="minorHAnsi"/>
          <w:bCs/>
          <w:iCs/>
        </w:rPr>
      </w:pPr>
      <w:r w:rsidRPr="00196967">
        <w:rPr>
          <w:rFonts w:cstheme="minorHAnsi"/>
          <w:bCs/>
          <w:iCs/>
        </w:rPr>
        <w:t>£242k from the Section 106 reserve relating to a specific section 106 agreement that requires the receipt to be paid over to City Deal.</w:t>
      </w:r>
    </w:p>
    <w:p w:rsidR="00F029B7" w:rsidRPr="00196967" w:rsidP="002024AE">
      <w:pPr>
        <w:pStyle w:val="ListParagraph"/>
        <w:numPr>
          <w:ilvl w:val="0"/>
          <w:numId w:val="16"/>
        </w:numPr>
        <w:spacing w:after="0" w:line="240" w:lineRule="auto"/>
        <w:jc w:val="both"/>
        <w:rPr>
          <w:rFonts w:cstheme="minorHAnsi"/>
          <w:bCs/>
          <w:iCs/>
        </w:rPr>
      </w:pPr>
      <w:r w:rsidRPr="00196967">
        <w:rPr>
          <w:rFonts w:cstheme="minorHAnsi"/>
          <w:bCs/>
          <w:iCs/>
        </w:rPr>
        <w:t>£236k</w:t>
      </w:r>
      <w:r>
        <w:rPr>
          <w:rFonts w:cstheme="minorHAnsi"/>
          <w:bCs/>
          <w:iCs/>
        </w:rPr>
        <w:t xml:space="preserve"> </w:t>
      </w:r>
      <w:r w:rsidRPr="00196967">
        <w:rPr>
          <w:rFonts w:cstheme="minorHAnsi"/>
          <w:bCs/>
          <w:iCs/>
        </w:rPr>
        <w:t>from</w:t>
      </w:r>
      <w:r w:rsidRPr="00196967">
        <w:rPr>
          <w:rFonts w:cstheme="minorHAnsi"/>
          <w:bCs/>
          <w:iCs/>
        </w:rPr>
        <w:t xml:space="preserve"> the business rates retention reserve</w:t>
      </w:r>
      <w:r>
        <w:rPr>
          <w:rFonts w:cstheme="minorHAnsi"/>
          <w:bCs/>
          <w:iCs/>
        </w:rPr>
        <w:t xml:space="preserve"> to address the </w:t>
      </w:r>
      <w:r w:rsidRPr="00196967">
        <w:rPr>
          <w:rFonts w:cstheme="minorHAnsi"/>
          <w:bCs/>
          <w:iCs/>
        </w:rPr>
        <w:t>additional pension contributions required in relation to 2020/21.</w:t>
      </w:r>
    </w:p>
    <w:p w:rsidR="00635F29" w:rsidP="00635F29">
      <w:pPr>
        <w:pStyle w:val="ListParagraph"/>
        <w:numPr>
          <w:ilvl w:val="0"/>
          <w:numId w:val="16"/>
        </w:numPr>
        <w:spacing w:after="0" w:line="240" w:lineRule="auto"/>
        <w:jc w:val="both"/>
        <w:rPr>
          <w:rFonts w:cstheme="minorHAnsi"/>
          <w:bCs/>
          <w:iCs/>
        </w:rPr>
      </w:pPr>
      <w:r w:rsidRPr="00196967">
        <w:rPr>
          <w:rFonts w:cstheme="minorHAnsi"/>
          <w:bCs/>
          <w:iCs/>
        </w:rPr>
        <w:t>£177k to fund costs associated with the local</w:t>
      </w:r>
      <w:r>
        <w:rPr>
          <w:rFonts w:cstheme="minorHAnsi"/>
          <w:bCs/>
          <w:iCs/>
        </w:rPr>
        <w:t xml:space="preserve"> plan.</w:t>
      </w:r>
    </w:p>
    <w:p w:rsidR="00635F29" w:rsidP="00635F29">
      <w:pPr>
        <w:pStyle w:val="ListParagraph"/>
        <w:numPr>
          <w:ilvl w:val="0"/>
          <w:numId w:val="16"/>
        </w:numPr>
        <w:spacing w:after="0" w:line="240" w:lineRule="auto"/>
        <w:jc w:val="both"/>
        <w:rPr>
          <w:rFonts w:cstheme="minorHAnsi"/>
          <w:bCs/>
          <w:iCs/>
        </w:rPr>
      </w:pPr>
      <w:r>
        <w:rPr>
          <w:rFonts w:cstheme="minorHAnsi"/>
          <w:bCs/>
          <w:iCs/>
        </w:rPr>
        <w:t xml:space="preserve">£150k from the business grants reserve to contribute to the wider programme of </w:t>
      </w:r>
      <w:r>
        <w:rPr>
          <w:rFonts w:cstheme="minorHAnsi"/>
          <w:bCs/>
          <w:iCs/>
        </w:rPr>
        <w:t>support to businesses, using Covid Additional Restrictions Grant funding.</w:t>
      </w:r>
    </w:p>
    <w:p w:rsidR="00DB5FAD" w:rsidP="00DB5FAD">
      <w:pPr>
        <w:pStyle w:val="ListParagraph"/>
        <w:numPr>
          <w:ilvl w:val="0"/>
          <w:numId w:val="16"/>
        </w:numPr>
        <w:spacing w:after="0" w:line="240" w:lineRule="auto"/>
        <w:jc w:val="both"/>
        <w:rPr>
          <w:rFonts w:cstheme="minorHAnsi"/>
          <w:bCs/>
          <w:iCs/>
        </w:rPr>
      </w:pPr>
      <w:r>
        <w:rPr>
          <w:rFonts w:cstheme="minorHAnsi"/>
          <w:bCs/>
          <w:iCs/>
        </w:rPr>
        <w:t>£113k of funding carried forward to be used for stock condition surveys for the Councils properties.</w:t>
      </w:r>
    </w:p>
    <w:p w:rsidR="00DB5FAD" w:rsidRPr="00DB5FAD" w:rsidP="00DB5FAD">
      <w:pPr>
        <w:pStyle w:val="ListParagraph"/>
        <w:numPr>
          <w:ilvl w:val="0"/>
          <w:numId w:val="16"/>
        </w:numPr>
        <w:spacing w:after="0" w:line="240" w:lineRule="auto"/>
        <w:jc w:val="both"/>
        <w:rPr>
          <w:rFonts w:cstheme="minorHAnsi"/>
          <w:bCs/>
          <w:iCs/>
        </w:rPr>
      </w:pPr>
      <w:r>
        <w:rPr>
          <w:rFonts w:cstheme="minorHAnsi"/>
          <w:bCs/>
          <w:iCs/>
        </w:rPr>
        <w:t>The remainder of the movements are various, smaller adjustments related to revenu</w:t>
      </w:r>
      <w:r>
        <w:rPr>
          <w:rFonts w:cstheme="minorHAnsi"/>
          <w:bCs/>
          <w:iCs/>
        </w:rPr>
        <w:t>e spending.</w:t>
      </w:r>
    </w:p>
    <w:p w:rsidR="0071652D" w:rsidP="00E24AE3">
      <w:pPr>
        <w:spacing w:after="0" w:line="240" w:lineRule="auto"/>
        <w:jc w:val="both"/>
        <w:rPr>
          <w:rFonts w:cstheme="minorHAnsi"/>
          <w:bCs/>
          <w:iCs/>
        </w:rPr>
      </w:pPr>
    </w:p>
    <w:p w:rsidR="0071652D" w:rsidP="00E24AE3">
      <w:pPr>
        <w:spacing w:after="0" w:line="240" w:lineRule="auto"/>
        <w:jc w:val="both"/>
        <w:rPr>
          <w:rFonts w:cstheme="minorHAnsi"/>
          <w:bCs/>
          <w:iCs/>
        </w:rPr>
      </w:pPr>
    </w:p>
    <w:p w:rsidR="001A5D89" w:rsidP="00E24AE3">
      <w:pPr>
        <w:spacing w:after="0" w:line="240" w:lineRule="auto"/>
        <w:jc w:val="both"/>
        <w:rPr>
          <w:rFonts w:cstheme="minorHAnsi"/>
          <w:bCs/>
          <w:iCs/>
        </w:rPr>
      </w:pPr>
    </w:p>
    <w:p w:rsidR="001A5D89" w:rsidP="00E24AE3">
      <w:pPr>
        <w:spacing w:after="0" w:line="240" w:lineRule="auto"/>
        <w:jc w:val="both"/>
        <w:rPr>
          <w:rFonts w:cstheme="minorHAnsi"/>
          <w:bCs/>
          <w:iCs/>
        </w:rPr>
      </w:pPr>
    </w:p>
    <w:p w:rsidR="00284E95" w:rsidP="001668A0">
      <w:pPr>
        <w:pStyle w:val="Heading2"/>
      </w:pPr>
      <w:r>
        <w:t>Climate change and air quality</w:t>
      </w: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1A5D89" w:rsidRPr="001A5D89" w:rsidP="001A5D89">
      <w:pPr>
        <w:spacing w:after="0" w:line="240" w:lineRule="auto"/>
        <w:jc w:val="both"/>
        <w:rPr>
          <w:rFonts w:cstheme="minorHAnsi"/>
          <w:bCs/>
          <w:iCs/>
        </w:rPr>
      </w:pPr>
    </w:p>
    <w:p w:rsidR="000179AF" w:rsidRPr="00ED4FF1" w:rsidP="001668A0">
      <w:pPr>
        <w:pStyle w:val="Heading2"/>
      </w:pPr>
      <w:r w:rsidRPr="00ED4FF1">
        <w:t>Equality and diversity</w:t>
      </w:r>
    </w:p>
    <w:p w:rsidR="000179AF" w:rsidRPr="001A5D89" w:rsidP="001A5D89">
      <w:pPr>
        <w:pStyle w:val="ListParagraph"/>
        <w:numPr>
          <w:ilvl w:val="0"/>
          <w:numId w:val="8"/>
        </w:numPr>
        <w:tabs>
          <w:tab w:val="left" w:pos="567"/>
        </w:tabs>
        <w:spacing w:after="0" w:line="240" w:lineRule="auto"/>
        <w:ind w:left="567" w:right="-284" w:hanging="567"/>
      </w:pPr>
      <w:r w:rsidRPr="001A5D89">
        <w:t>None</w:t>
      </w:r>
    </w:p>
    <w:p w:rsidR="003042F6" w:rsidP="004E031C">
      <w:pPr>
        <w:spacing w:after="0" w:line="240" w:lineRule="auto"/>
        <w:jc w:val="both"/>
        <w:rPr>
          <w:rFonts w:cstheme="minorHAnsi"/>
          <w:bCs/>
          <w:iCs/>
        </w:rPr>
      </w:pPr>
    </w:p>
    <w:p w:rsidR="004758E2" w:rsidP="001668A0">
      <w:pPr>
        <w:pStyle w:val="Heading2"/>
      </w:pPr>
      <w:r>
        <w:t>Risk</w:t>
      </w:r>
    </w:p>
    <w:p w:rsidR="000179AF" w:rsidP="001A5D89">
      <w:pPr>
        <w:pStyle w:val="ListParagraph"/>
        <w:numPr>
          <w:ilvl w:val="0"/>
          <w:numId w:val="8"/>
        </w:numPr>
        <w:tabs>
          <w:tab w:val="left" w:pos="567"/>
        </w:tabs>
        <w:spacing w:after="0" w:line="240" w:lineRule="auto"/>
        <w:ind w:left="567" w:right="-284" w:hanging="567"/>
      </w:pPr>
      <w:r w:rsidRPr="003042F6">
        <w:t>Please summarise the key risks identified in any risk assessments.</w:t>
      </w:r>
    </w:p>
    <w:p w:rsidR="00B62624" w:rsidRPr="001A5D89" w:rsidP="00B62624">
      <w:pPr>
        <w:tabs>
          <w:tab w:val="left" w:pos="567"/>
        </w:tabs>
        <w:spacing w:after="0" w:line="240" w:lineRule="auto"/>
        <w:ind w:right="-284"/>
      </w:pPr>
    </w:p>
    <w:p w:rsidR="000179AF" w:rsidRPr="00ED4FF1" w:rsidP="001668A0">
      <w:pPr>
        <w:pStyle w:val="Heading2"/>
      </w:pPr>
      <w:r w:rsidRPr="00ED4FF1">
        <w:t>Comments of the Statutory Finance Officer</w:t>
      </w:r>
    </w:p>
    <w:p w:rsidR="000179AF" w:rsidRPr="001A5D89" w:rsidP="001A5D89">
      <w:pPr>
        <w:pStyle w:val="ListParagraph"/>
        <w:numPr>
          <w:ilvl w:val="0"/>
          <w:numId w:val="8"/>
        </w:numPr>
        <w:tabs>
          <w:tab w:val="left" w:pos="567"/>
        </w:tabs>
        <w:spacing w:after="0" w:line="240" w:lineRule="auto"/>
        <w:ind w:left="567" w:right="-284" w:hanging="567"/>
      </w:pPr>
      <w:r w:rsidRPr="001A5D89">
        <w:t>The financial implications are contained within this report.</w:t>
      </w:r>
    </w:p>
    <w:p w:rsidR="00DB5FAD" w:rsidRPr="00D4431F" w:rsidP="00E42F6B">
      <w:pPr>
        <w:spacing w:after="0" w:line="240" w:lineRule="auto"/>
        <w:jc w:val="both"/>
        <w:rPr>
          <w:rFonts w:cstheme="minorHAnsi"/>
          <w:bCs/>
        </w:rPr>
      </w:pPr>
    </w:p>
    <w:p w:rsidR="000179AF" w:rsidRPr="00ED4FF1" w:rsidP="001668A0">
      <w:pPr>
        <w:pStyle w:val="Heading2"/>
      </w:pPr>
      <w:r w:rsidRPr="00ED4FF1">
        <w:t>Comments of the Monitoring Officer</w:t>
      </w:r>
    </w:p>
    <w:p w:rsidR="000179AF" w:rsidRPr="001A5D89" w:rsidP="001A5D89">
      <w:pPr>
        <w:pStyle w:val="ListParagraph"/>
        <w:numPr>
          <w:ilvl w:val="0"/>
          <w:numId w:val="8"/>
        </w:numPr>
        <w:tabs>
          <w:tab w:val="left" w:pos="567"/>
        </w:tabs>
        <w:spacing w:after="0" w:line="240" w:lineRule="auto"/>
        <w:ind w:left="567" w:right="-284" w:hanging="567"/>
      </w:pPr>
      <w:r w:rsidRPr="001A5D89">
        <w:t>None</w:t>
      </w:r>
    </w:p>
    <w:p w:rsidR="000179AF" w:rsidRPr="00D1305C" w:rsidP="003042F6">
      <w:pPr>
        <w:spacing w:after="0" w:line="240" w:lineRule="auto"/>
        <w:jc w:val="both"/>
        <w:rPr>
          <w:rFonts w:cstheme="minorHAnsi"/>
          <w:bCs/>
        </w:rPr>
      </w:pPr>
    </w:p>
    <w:p w:rsidR="000179AF" w:rsidRPr="00D1305C"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rsidR="003042F6" w:rsidRPr="001A5D89" w:rsidP="001A5D89">
      <w:pPr>
        <w:pStyle w:val="ListParagraph"/>
        <w:numPr>
          <w:ilvl w:val="0"/>
          <w:numId w:val="8"/>
        </w:numPr>
        <w:tabs>
          <w:tab w:val="left" w:pos="567"/>
        </w:tabs>
        <w:spacing w:after="0" w:line="240" w:lineRule="auto"/>
        <w:ind w:left="567" w:right="-284" w:hanging="567"/>
      </w:pPr>
      <w:r w:rsidRPr="001A5D89">
        <w:t xml:space="preserve">There are no </w:t>
      </w:r>
      <w:r w:rsidRPr="001A5D89">
        <w:t>background papers to this report.</w:t>
      </w:r>
    </w:p>
    <w:p w:rsidR="003042F6" w:rsidRPr="00883AC9" w:rsidP="003042F6">
      <w:pPr>
        <w:spacing w:after="0" w:line="240" w:lineRule="auto"/>
        <w:jc w:val="both"/>
        <w:rPr>
          <w:rFonts w:cstheme="minorHAnsi"/>
          <w:bCs/>
          <w:iCs/>
        </w:rPr>
      </w:pPr>
    </w:p>
    <w:p w:rsidR="000179AF" w:rsidRPr="00ED4FF1" w:rsidP="001668A0">
      <w:pPr>
        <w:pStyle w:val="Heading2"/>
      </w:pPr>
      <w:r w:rsidRPr="00ED4FF1">
        <w:t xml:space="preserve">Appendices </w:t>
      </w:r>
    </w:p>
    <w:p w:rsidR="000179AF" w:rsidRPr="00883AC9"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 xml:space="preserve">1 – </w:t>
      </w:r>
      <w:r w:rsidRPr="006321A4">
        <w:rPr>
          <w:rFonts w:eastAsia="Times New Roman" w:cstheme="minorHAnsi"/>
          <w:bCs/>
          <w:iCs/>
          <w:color w:val="000000" w:themeColor="text1"/>
          <w:kern w:val="36"/>
          <w:lang w:eastAsia="en-GB"/>
        </w:rPr>
        <w:t xml:space="preserve">Revenue 2021/22 - position 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rsidR="000179AF" w:rsidP="006321A4">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2</w:t>
      </w:r>
      <w:r w:rsidRPr="00883AC9">
        <w:rPr>
          <w:rFonts w:eastAsia="Times New Roman" w:cstheme="minorHAnsi"/>
          <w:bCs/>
          <w:iCs/>
          <w:color w:val="000000" w:themeColor="text1"/>
          <w:kern w:val="36"/>
          <w:lang w:eastAsia="en-GB"/>
        </w:rPr>
        <w:t xml:space="preserve"> </w:t>
      </w:r>
      <w:r>
        <w:rPr>
          <w:rFonts w:eastAsia="Times New Roman" w:cstheme="minorHAnsi"/>
          <w:bCs/>
          <w:iCs/>
          <w:color w:val="000000" w:themeColor="text1"/>
          <w:kern w:val="36"/>
          <w:lang w:eastAsia="en-GB"/>
        </w:rPr>
        <w:t xml:space="preserve">– Revenue Budget Movements </w:t>
      </w:r>
      <w:r w:rsidRPr="006321A4">
        <w:rPr>
          <w:rFonts w:eastAsia="Times New Roman" w:cstheme="minorHAnsi"/>
          <w:bCs/>
          <w:iCs/>
          <w:color w:val="000000" w:themeColor="text1"/>
          <w:kern w:val="36"/>
          <w:lang w:eastAsia="en-GB"/>
        </w:rPr>
        <w:t xml:space="preserve">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rsidR="006321A4" w:rsidP="006321A4">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3 – </w:t>
      </w:r>
      <w:r w:rsidRPr="006321A4">
        <w:rPr>
          <w:rFonts w:eastAsia="Times New Roman" w:cstheme="minorHAnsi"/>
          <w:bCs/>
          <w:iCs/>
          <w:color w:val="000000" w:themeColor="text1"/>
          <w:kern w:val="36"/>
          <w:lang w:eastAsia="en-GB"/>
        </w:rPr>
        <w:t xml:space="preserve">2021/22 Reserves Programme position 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rsidR="00BE6AB6" w:rsidP="006321A4">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4 – Staffing Vacancies as at 30th September 2021</w:t>
      </w:r>
    </w:p>
    <w:p w:rsidR="00CE2C2B" w:rsidP="006321A4">
      <w:pPr>
        <w:spacing w:after="0"/>
        <w:rPr>
          <w:rFonts w:eastAsia="Times New Roman" w:cstheme="minorHAnsi"/>
          <w:bCs/>
          <w:iCs/>
          <w:color w:val="000000" w:themeColor="text1"/>
          <w:kern w:val="36"/>
          <w:lang w:eastAsia="en-GB"/>
        </w:rPr>
      </w:pPr>
    </w:p>
    <w:p w:rsidR="00A46A93" w:rsidRPr="00883AC9" w:rsidP="006321A4">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3876"/>
        <w:gridCol w:w="1372"/>
        <w:gridCol w:w="1081"/>
      </w:tblGrid>
      <w:tr w:rsidTr="003042F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10"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3631" w:type="dxa"/>
          </w:tcPr>
          <w:p w:rsidR="00D4431F" w:rsidRPr="00D4431F" w:rsidP="00D4431F">
            <w:pPr>
              <w:spacing w:line="240" w:lineRule="auto"/>
              <w:jc w:val="both"/>
              <w:rPr>
                <w:rFonts w:cstheme="minorHAnsi"/>
                <w:bCs/>
              </w:rPr>
            </w:pPr>
            <w:r w:rsidRPr="00D4431F">
              <w:rPr>
                <w:rFonts w:cstheme="minorHAnsi"/>
                <w:bCs/>
              </w:rPr>
              <w:t>Email:</w:t>
            </w:r>
          </w:p>
        </w:tc>
        <w:tc>
          <w:tcPr>
            <w:tcW w:w="1384"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083"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5D3635">
        <w:tblPrEx>
          <w:tblW w:w="0" w:type="auto"/>
          <w:tblInd w:w="108" w:type="dxa"/>
          <w:tblLook w:val="04A0"/>
        </w:tblPrEx>
        <w:trPr>
          <w:trHeight w:val="934"/>
        </w:trPr>
        <w:tc>
          <w:tcPr>
            <w:tcW w:w="2810" w:type="dxa"/>
            <w:shd w:val="clear" w:color="auto" w:fill="auto"/>
          </w:tcPr>
          <w:p w:rsidR="00D4431F" w:rsidRPr="00D4431F" w:rsidP="005D3635">
            <w:pPr>
              <w:spacing w:after="0" w:line="240" w:lineRule="auto"/>
              <w:rPr>
                <w:rFonts w:cstheme="minorHAnsi"/>
                <w:bCs/>
              </w:rPr>
            </w:pPr>
            <w:r>
              <w:rPr>
                <w:rFonts w:cstheme="minorHAnsi"/>
                <w:bCs/>
              </w:rPr>
              <w:t xml:space="preserve">Neil Halton (Principal Management Accountant), James McNulty (Senior Management </w:t>
            </w:r>
            <w:r>
              <w:rPr>
                <w:rFonts w:cstheme="minorHAnsi"/>
                <w:bCs/>
              </w:rPr>
              <w:t>Accountant)</w:t>
            </w:r>
          </w:p>
        </w:tc>
        <w:tc>
          <w:tcPr>
            <w:tcW w:w="3631" w:type="dxa"/>
          </w:tcPr>
          <w:p w:rsidR="00D4431F" w:rsidRPr="00D4431F" w:rsidP="005D3635">
            <w:pPr>
              <w:spacing w:after="0"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louise.mattinson@southribble.gov.uk, james.mcnulty@southribble.gov.uk</w:t>
            </w:r>
            <w:r>
              <w:rPr>
                <w:rFonts w:cstheme="minorHAnsi"/>
                <w:bCs/>
              </w:rPr>
              <w:fldChar w:fldCharType="end"/>
            </w:r>
          </w:p>
        </w:tc>
        <w:tc>
          <w:tcPr>
            <w:tcW w:w="1384" w:type="dxa"/>
            <w:shd w:val="clear" w:color="auto" w:fill="auto"/>
          </w:tcPr>
          <w:p w:rsidR="00D4431F" w:rsidRPr="00D4431F" w:rsidP="005D3635">
            <w:pPr>
              <w:spacing w:after="0"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rsidR="00D4431F" w:rsidRPr="00D4431F" w:rsidP="005D3635">
            <w:pPr>
              <w:spacing w:after="0" w:line="240" w:lineRule="auto"/>
              <w:jc w:val="both"/>
              <w:rPr>
                <w:rFonts w:cstheme="minorHAnsi"/>
                <w:bCs/>
              </w:rPr>
            </w:pPr>
            <w:r>
              <w:rPr>
                <w:rFonts w:cstheme="minorHAnsi"/>
                <w:bCs/>
              </w:rPr>
              <w:t>28/10/21</w:t>
            </w:r>
          </w:p>
        </w:tc>
      </w:tr>
    </w:tbl>
    <w:p w:rsidR="0025620C" w:rsidRPr="00BE6AB6" w:rsidP="005D3635">
      <w:pPr>
        <w:rPr>
          <w:sz w:val="10"/>
          <w:szCs w:val="10"/>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FD6D32"/>
    <w:multiLevelType w:val="hybridMultilevel"/>
    <w:tmpl w:val="7780F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A9F2A64"/>
    <w:multiLevelType w:val="hybridMultilevel"/>
    <w:tmpl w:val="EB76C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EBF00E5"/>
    <w:multiLevelType w:val="hybridMultilevel"/>
    <w:tmpl w:val="79F42C04"/>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19602A0"/>
    <w:multiLevelType w:val="hybridMultilevel"/>
    <w:tmpl w:val="B004F562"/>
    <w:lvl w:ilvl="0">
      <w:start w:val="1"/>
      <w:numFmt w:val="bullet"/>
      <w:lvlText w:val=""/>
      <w:lvlJc w:val="left"/>
      <w:pPr>
        <w:ind w:left="720" w:hanging="360"/>
      </w:pPr>
      <w:rPr>
        <w:rFonts w:ascii="Symbol" w:hAnsi="Symbol" w:hint="default"/>
        <w:b w:val="0"/>
        <w:bCs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AF7638"/>
    <w:multiLevelType w:val="hybridMultilevel"/>
    <w:tmpl w:val="247ACA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A1E1721"/>
    <w:multiLevelType w:val="hybridMultilevel"/>
    <w:tmpl w:val="F22AED50"/>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3">
    <w:nsid w:val="7A317A7D"/>
    <w:multiLevelType w:val="hybridMultilevel"/>
    <w:tmpl w:val="AF20FC76"/>
    <w:lvl w:ilvl="0">
      <w:start w:val="1"/>
      <w:numFmt w:val="bullet"/>
      <w:lvlText w:val=""/>
      <w:lvlJc w:val="left"/>
      <w:pPr>
        <w:ind w:left="720" w:hanging="360"/>
      </w:pPr>
      <w:rPr>
        <w:rFonts w:ascii="Symbol" w:hAnsi="Symbol" w:hint="default"/>
        <w:b w:val="0"/>
        <w:bCs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0"/>
  </w:num>
  <w:num w:numId="5">
    <w:abstractNumId w:val="4"/>
  </w:num>
  <w:num w:numId="6">
    <w:abstractNumId w:val="1"/>
  </w:num>
  <w:num w:numId="7">
    <w:abstractNumId w:val="3"/>
  </w:num>
  <w:num w:numId="8">
    <w:abstractNumId w:val="7"/>
  </w:num>
  <w:num w:numId="9">
    <w:abstractNumId w:val="15"/>
  </w:num>
  <w:num w:numId="10">
    <w:abstractNumId w:val="5"/>
  </w:num>
  <w:num w:numId="11">
    <w:abstractNumId w:val="13"/>
  </w:num>
  <w:num w:numId="12">
    <w:abstractNumId w:val="8"/>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eastAsia="Times New Roman" w:asciiTheme="majorHAnsi"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eastAsia="Times New Roman" w:asciiTheme="majorHAnsi"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3AE8AB-BA2D-4A30-896E-77ADC5C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13</cp:revision>
  <cp:lastPrinted>2014-03-21T13:56:00Z</cp:lastPrinted>
  <dcterms:created xsi:type="dcterms:W3CDTF">2021-10-18T08:37:00Z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Revenue and Capital Budget Monitoring</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Monday, 15 November 2021</vt:lpwstr>
  </property>
  <property fmtid="{D5CDD505-2E9C-101B-9397-08002B2CF9AE}" pid="10" name="MeetingDateLegal">
    <vt:lpwstr>MeetingDateLegal</vt:lpwstr>
  </property>
</Properties>
</file>